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8D4" w:rsidRPr="007436BB" w:rsidRDefault="004408D4" w:rsidP="004408D4">
      <w:pPr>
        <w:spacing w:before="120" w:after="240"/>
        <w:jc w:val="both"/>
        <w:rPr>
          <w:rFonts w:ascii="Garamond" w:eastAsia="Times New Roman" w:hAnsi="Garamond" w:cs="Arial"/>
          <w:szCs w:val="24"/>
        </w:rPr>
      </w:pPr>
      <w:r w:rsidRPr="007436BB">
        <w:rPr>
          <w:rFonts w:ascii="Garamond" w:eastAsia="Times New Roman" w:hAnsi="Garamond" w:cs="Arial"/>
          <w:noProof/>
          <w:szCs w:val="24"/>
          <w:lang w:val="en-US" w:eastAsia="ja-JP"/>
        </w:rPr>
        <w:drawing>
          <wp:anchor distT="0" distB="0" distL="0" distR="0" simplePos="0" relativeHeight="251659264" behindDoc="0" locked="0" layoutInCell="1" allowOverlap="1" wp14:anchorId="200F36C3" wp14:editId="02B498C8">
            <wp:simplePos x="0" y="0"/>
            <wp:positionH relativeFrom="column">
              <wp:posOffset>-274955</wp:posOffset>
            </wp:positionH>
            <wp:positionV relativeFrom="paragraph">
              <wp:posOffset>-106045</wp:posOffset>
            </wp:positionV>
            <wp:extent cx="680085" cy="754380"/>
            <wp:effectExtent l="0" t="0" r="5715" b="7620"/>
            <wp:wrapTopAndBottom/>
            <wp:docPr id="1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DFF"/>
                        </a:clrFrom>
                        <a:clrTo>
                          <a:srgbClr val="FFFD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436BB">
        <w:rPr>
          <w:rFonts w:ascii="Garamond" w:eastAsia="Times New Roman" w:hAnsi="Garamond" w:cs="Arial"/>
          <w:noProof/>
          <w:szCs w:val="24"/>
          <w:lang w:val="en-US" w:eastAsia="ja-JP"/>
        </w:rPr>
        <w:drawing>
          <wp:anchor distT="0" distB="0" distL="0" distR="0" simplePos="0" relativeHeight="251660288" behindDoc="0" locked="0" layoutInCell="1" allowOverlap="1" wp14:anchorId="6555DE23" wp14:editId="2A37C860">
            <wp:simplePos x="0" y="0"/>
            <wp:positionH relativeFrom="column">
              <wp:posOffset>5137150</wp:posOffset>
            </wp:positionH>
            <wp:positionV relativeFrom="paragraph">
              <wp:posOffset>10795</wp:posOffset>
            </wp:positionV>
            <wp:extent cx="713105" cy="605790"/>
            <wp:effectExtent l="0" t="0" r="0" b="3810"/>
            <wp:wrapTopAndBottom/>
            <wp:docPr id="2" name="Image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9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408D4" w:rsidRPr="007436BB" w:rsidRDefault="004408D4" w:rsidP="004408D4">
      <w:pPr>
        <w:spacing w:before="120" w:after="240"/>
        <w:jc w:val="center"/>
        <w:rPr>
          <w:rFonts w:ascii="Garamond" w:eastAsia="Times New Roman" w:hAnsi="Garamond" w:cs="Arial"/>
          <w:noProof/>
          <w:szCs w:val="24"/>
          <w:lang w:eastAsia="fr-FR"/>
        </w:rPr>
      </w:pPr>
    </w:p>
    <w:p w:rsidR="004408D4" w:rsidRPr="007436BB" w:rsidRDefault="004408D4" w:rsidP="004408D4">
      <w:pPr>
        <w:spacing w:before="120" w:after="240"/>
        <w:jc w:val="both"/>
        <w:rPr>
          <w:rFonts w:ascii="Garamond" w:eastAsia="Times New Roman" w:hAnsi="Garamond" w:cs="Arial"/>
          <w:szCs w:val="24"/>
        </w:rPr>
      </w:pPr>
    </w:p>
    <w:p w:rsidR="004408D4" w:rsidRPr="007436BB" w:rsidRDefault="004408D4" w:rsidP="004408D4">
      <w:pPr>
        <w:spacing w:before="120" w:after="240"/>
        <w:jc w:val="center"/>
        <w:rPr>
          <w:rFonts w:ascii="Garamond" w:eastAsia="Times New Roman" w:hAnsi="Garamond" w:cs="Arial"/>
          <w:szCs w:val="24"/>
        </w:rPr>
      </w:pPr>
    </w:p>
    <w:p w:rsidR="004408D4" w:rsidRPr="007436BB" w:rsidRDefault="004408D4" w:rsidP="004408D4">
      <w:pPr>
        <w:spacing w:before="120" w:after="240"/>
        <w:jc w:val="center"/>
        <w:rPr>
          <w:rFonts w:ascii="Garamond" w:eastAsia="Times New Roman" w:hAnsi="Garamond" w:cs="Arial"/>
          <w:szCs w:val="24"/>
        </w:rPr>
      </w:pPr>
    </w:p>
    <w:p w:rsidR="004408D4" w:rsidRPr="007436BB" w:rsidRDefault="004408D4" w:rsidP="004408D4">
      <w:pPr>
        <w:spacing w:before="120" w:after="240"/>
        <w:jc w:val="center"/>
        <w:rPr>
          <w:rFonts w:ascii="Garamond" w:eastAsia="Times New Roman" w:hAnsi="Garamond" w:cs="Arial"/>
          <w:szCs w:val="24"/>
        </w:rPr>
      </w:pPr>
    </w:p>
    <w:p w:rsidR="004408D4" w:rsidRPr="007436BB" w:rsidRDefault="004408D4" w:rsidP="004408D4">
      <w:pPr>
        <w:spacing w:before="120" w:after="240"/>
        <w:jc w:val="center"/>
        <w:rPr>
          <w:rFonts w:ascii="Garamond" w:eastAsia="Times New Roman" w:hAnsi="Garamond" w:cs="Arial"/>
          <w:szCs w:val="24"/>
        </w:rPr>
      </w:pPr>
    </w:p>
    <w:p w:rsidR="004408D4" w:rsidRPr="007436BB" w:rsidRDefault="00D3610B" w:rsidP="004408D4">
      <w:pPr>
        <w:spacing w:before="120" w:after="240"/>
        <w:jc w:val="both"/>
        <w:rPr>
          <w:rFonts w:ascii="Garamond" w:eastAsia="Times New Roman" w:hAnsi="Garamond" w:cs="Arial"/>
          <w:szCs w:val="24"/>
        </w:rPr>
      </w:pPr>
      <w:r w:rsidRPr="007436BB">
        <w:rPr>
          <w:rFonts w:ascii="Garamond" w:eastAsia="Times New Roman" w:hAnsi="Garamond" w:cs="Arial"/>
          <w:noProof/>
          <w:szCs w:val="24"/>
          <w:lang w:val="en-US"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90EC552" wp14:editId="06B4A858">
                <wp:simplePos x="0" y="0"/>
                <wp:positionH relativeFrom="page">
                  <wp:align>center</wp:align>
                </wp:positionH>
                <wp:positionV relativeFrom="page">
                  <wp:posOffset>4595495</wp:posOffset>
                </wp:positionV>
                <wp:extent cx="6023610" cy="1828800"/>
                <wp:effectExtent l="133350" t="114300" r="148590" b="171450"/>
                <wp:wrapSquare wrapText="bothSides"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3610" cy="18288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57150" cmpd="thickThin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  <a:extLst/>
                      </wps:spPr>
                      <wps:txbx>
                        <w:txbxContent>
                          <w:p w:rsidR="004408D4" w:rsidRPr="006F0B82" w:rsidRDefault="004408D4" w:rsidP="004408D4">
                            <w:pPr>
                              <w:spacing w:after="0" w:line="36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sz w:val="36"/>
                                <w:szCs w:val="36"/>
                              </w:rPr>
                            </w:pPr>
                            <w:r w:rsidRPr="006F0B82">
                              <w:rPr>
                                <w:rFonts w:ascii="Berlin Sans FB Demi" w:hAnsi="Berlin Sans FB Demi"/>
                                <w:b/>
                                <w:sz w:val="36"/>
                                <w:szCs w:val="36"/>
                              </w:rPr>
                              <w:t>RAPPORT D’ACTIVITES D</w:t>
                            </w:r>
                            <w:r w:rsidR="008C6C25">
                              <w:rPr>
                                <w:rFonts w:ascii="Berlin Sans FB Demi" w:hAnsi="Berlin Sans FB Demi"/>
                                <w:b/>
                                <w:sz w:val="36"/>
                                <w:szCs w:val="36"/>
                              </w:rPr>
                              <w:t>U PROJET</w:t>
                            </w:r>
                            <w:r w:rsidRPr="006F0B82">
                              <w:rPr>
                                <w:rFonts w:ascii="Berlin Sans FB Demi" w:hAnsi="Berlin Sans FB Demi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7C68CA" w:rsidRDefault="007C68CA" w:rsidP="004408D4">
                            <w:pPr>
                              <w:spacing w:after="0" w:line="36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sz w:val="36"/>
                                <w:szCs w:val="36"/>
                              </w:rPr>
                              <w:t>TICAD V C</w:t>
                            </w:r>
                            <w:r w:rsidR="008C6C25">
                              <w:rPr>
                                <w:rFonts w:ascii="Berlin Sans FB Demi" w:hAnsi="Berlin Sans FB Demi"/>
                                <w:b/>
                                <w:sz w:val="36"/>
                                <w:szCs w:val="36"/>
                              </w:rPr>
                              <w:t xml:space="preserve">HANGEMENETS </w:t>
                            </w:r>
                            <w:r>
                              <w:rPr>
                                <w:rFonts w:ascii="Berlin Sans FB Demi" w:hAnsi="Berlin Sans FB Demi"/>
                                <w:b/>
                                <w:sz w:val="36"/>
                                <w:szCs w:val="36"/>
                              </w:rPr>
                              <w:t>C</w:t>
                            </w:r>
                            <w:r w:rsidR="008C6C25">
                              <w:rPr>
                                <w:rFonts w:ascii="Berlin Sans FB Demi" w:hAnsi="Berlin Sans FB Demi"/>
                                <w:b/>
                                <w:sz w:val="36"/>
                                <w:szCs w:val="36"/>
                              </w:rPr>
                              <w:t>LIMATIQUES</w:t>
                            </w:r>
                          </w:p>
                          <w:p w:rsidR="004408D4" w:rsidRPr="006F0B82" w:rsidRDefault="007C68CA" w:rsidP="004408D4">
                            <w:pPr>
                              <w:spacing w:after="0" w:line="36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sz w:val="36"/>
                                <w:szCs w:val="36"/>
                              </w:rPr>
                            </w:pPr>
                            <w:r w:rsidRPr="00D2383F">
                              <w:rPr>
                                <w:rFonts w:ascii="Berlin Sans FB Demi" w:hAnsi="Berlin Sans FB Demi"/>
                                <w:color w:val="548DD4" w:themeColor="text2" w:themeTint="99"/>
                                <w:sz w:val="20"/>
                                <w:szCs w:val="20"/>
                              </w:rPr>
                              <w:t>« Adaptation aux changements climatiques en vue de l’am</w:t>
                            </w:r>
                            <w:r>
                              <w:rPr>
                                <w:rFonts w:ascii="Berlin Sans FB Demi" w:hAnsi="Berlin Sans FB Demi"/>
                                <w:color w:val="548DD4" w:themeColor="text2" w:themeTint="99"/>
                                <w:sz w:val="20"/>
                                <w:szCs w:val="20"/>
                              </w:rPr>
                              <w:t>é</w:t>
                            </w:r>
                            <w:r w:rsidRPr="00D2383F">
                              <w:rPr>
                                <w:rFonts w:ascii="Berlin Sans FB Demi" w:hAnsi="Berlin Sans FB Demi"/>
                                <w:color w:val="548DD4" w:themeColor="text2" w:themeTint="99"/>
                                <w:sz w:val="20"/>
                                <w:szCs w:val="20"/>
                              </w:rPr>
                              <w:t>lioration de la sécurité alimentaire du Burkina Faso</w:t>
                            </w:r>
                            <w:r>
                              <w:rPr>
                                <w:rFonts w:ascii="Berlin Sans FB Demi" w:hAnsi="Berlin Sans FB Demi"/>
                                <w:color w:val="548DD4" w:themeColor="text2" w:themeTint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2383F">
                              <w:rPr>
                                <w:rFonts w:ascii="Berlin Sans FB Demi" w:hAnsi="Berlin Sans FB Demi"/>
                                <w:color w:val="548DD4" w:themeColor="text2" w:themeTint="99"/>
                                <w:sz w:val="20"/>
                                <w:szCs w:val="20"/>
                              </w:rPr>
                              <w:t>»</w:t>
                            </w:r>
                          </w:p>
                          <w:p w:rsidR="004408D4" w:rsidRPr="007C68CA" w:rsidRDefault="004408D4" w:rsidP="004408D4">
                            <w:pPr>
                              <w:spacing w:after="0" w:line="36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szCs w:val="24"/>
                              </w:rPr>
                            </w:pPr>
                            <w:r w:rsidRPr="007C68CA">
                              <w:rPr>
                                <w:rFonts w:ascii="Berlin Sans FB Demi" w:hAnsi="Berlin Sans FB Demi"/>
                                <w:b/>
                                <w:szCs w:val="24"/>
                              </w:rPr>
                              <w:t>(</w:t>
                            </w:r>
                            <w:r w:rsidR="001D058B" w:rsidRPr="007C68CA">
                              <w:rPr>
                                <w:rFonts w:ascii="Berlin Sans FB Demi" w:hAnsi="Berlin Sans FB Demi"/>
                                <w:b/>
                                <w:szCs w:val="24"/>
                              </w:rPr>
                              <w:t xml:space="preserve">Juillet - </w:t>
                            </w:r>
                            <w:r w:rsidRPr="007C68CA">
                              <w:rPr>
                                <w:rFonts w:ascii="Berlin Sans FB Demi" w:hAnsi="Berlin Sans FB Demi"/>
                                <w:b/>
                                <w:szCs w:val="24"/>
                              </w:rPr>
                              <w:t>décembre 2014)</w:t>
                            </w:r>
                          </w:p>
                          <w:p w:rsidR="004408D4" w:rsidRDefault="004408D4" w:rsidP="004408D4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0EC55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361.85pt;width:474.3pt;height:2in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" o:allowincell="f" fillcolor="#c2d69b [1942]" stroked="f" strokeweight="4.5pt">
                <v:stroke linestyle="thickThin"/>
                <v:shadow on="t" color="black" offset="0,1pt"/>
                <v:textbox inset="10.8pt,7.2pt,10.8pt,7.2pt">
                  <w:txbxContent>
                    <w:p w:rsidR="004408D4" w:rsidRPr="006F0B82" w:rsidRDefault="004408D4" w:rsidP="004408D4">
                      <w:pPr>
                        <w:spacing w:after="0" w:line="360" w:lineRule="auto"/>
                        <w:jc w:val="center"/>
                        <w:rPr>
                          <w:rFonts w:ascii="Berlin Sans FB Demi" w:hAnsi="Berlin Sans FB Demi"/>
                          <w:b/>
                          <w:sz w:val="36"/>
                          <w:szCs w:val="36"/>
                        </w:rPr>
                      </w:pPr>
                      <w:r w:rsidRPr="006F0B82">
                        <w:rPr>
                          <w:rFonts w:ascii="Berlin Sans FB Demi" w:hAnsi="Berlin Sans FB Demi"/>
                          <w:b/>
                          <w:sz w:val="36"/>
                          <w:szCs w:val="36"/>
                        </w:rPr>
                        <w:t>RAPPORT D’ACTIVITES D</w:t>
                      </w:r>
                      <w:r w:rsidR="008C6C25">
                        <w:rPr>
                          <w:rFonts w:ascii="Berlin Sans FB Demi" w:hAnsi="Berlin Sans FB Demi"/>
                          <w:b/>
                          <w:sz w:val="36"/>
                          <w:szCs w:val="36"/>
                        </w:rPr>
                        <w:t>U PROJET</w:t>
                      </w:r>
                      <w:r w:rsidRPr="006F0B82">
                        <w:rPr>
                          <w:rFonts w:ascii="Berlin Sans FB Demi" w:hAnsi="Berlin Sans FB Demi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p w:rsidR="007C68CA" w:rsidRDefault="007C68CA" w:rsidP="004408D4">
                      <w:pPr>
                        <w:spacing w:after="0" w:line="360" w:lineRule="auto"/>
                        <w:jc w:val="center"/>
                        <w:rPr>
                          <w:rFonts w:ascii="Berlin Sans FB Demi" w:hAnsi="Berlin Sans FB Demi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Berlin Sans FB Demi" w:hAnsi="Berlin Sans FB Demi"/>
                          <w:b/>
                          <w:sz w:val="36"/>
                          <w:szCs w:val="36"/>
                        </w:rPr>
                        <w:t>TICAD V C</w:t>
                      </w:r>
                      <w:r w:rsidR="008C6C25">
                        <w:rPr>
                          <w:rFonts w:ascii="Berlin Sans FB Demi" w:hAnsi="Berlin Sans FB Demi"/>
                          <w:b/>
                          <w:sz w:val="36"/>
                          <w:szCs w:val="36"/>
                        </w:rPr>
                        <w:t xml:space="preserve">HANGEMENETS </w:t>
                      </w:r>
                      <w:r>
                        <w:rPr>
                          <w:rFonts w:ascii="Berlin Sans FB Demi" w:hAnsi="Berlin Sans FB Demi"/>
                          <w:b/>
                          <w:sz w:val="36"/>
                          <w:szCs w:val="36"/>
                        </w:rPr>
                        <w:t>C</w:t>
                      </w:r>
                      <w:r w:rsidR="008C6C25">
                        <w:rPr>
                          <w:rFonts w:ascii="Berlin Sans FB Demi" w:hAnsi="Berlin Sans FB Demi"/>
                          <w:b/>
                          <w:sz w:val="36"/>
                          <w:szCs w:val="36"/>
                        </w:rPr>
                        <w:t>LIMATIQUES</w:t>
                      </w:r>
                    </w:p>
                    <w:p w:rsidR="004408D4" w:rsidRPr="006F0B82" w:rsidRDefault="007C68CA" w:rsidP="004408D4">
                      <w:pPr>
                        <w:spacing w:after="0" w:line="360" w:lineRule="auto"/>
                        <w:jc w:val="center"/>
                        <w:rPr>
                          <w:rFonts w:ascii="Berlin Sans FB Demi" w:hAnsi="Berlin Sans FB Demi"/>
                          <w:b/>
                          <w:sz w:val="36"/>
                          <w:szCs w:val="36"/>
                        </w:rPr>
                      </w:pPr>
                      <w:r w:rsidRPr="00D2383F">
                        <w:rPr>
                          <w:rFonts w:ascii="Berlin Sans FB Demi" w:hAnsi="Berlin Sans FB Demi"/>
                          <w:color w:val="548DD4" w:themeColor="text2" w:themeTint="99"/>
                          <w:sz w:val="20"/>
                          <w:szCs w:val="20"/>
                        </w:rPr>
                        <w:t>« Adaptation aux changements climatiques en vue de l’am</w:t>
                      </w:r>
                      <w:r>
                        <w:rPr>
                          <w:rFonts w:ascii="Berlin Sans FB Demi" w:hAnsi="Berlin Sans FB Demi"/>
                          <w:color w:val="548DD4" w:themeColor="text2" w:themeTint="99"/>
                          <w:sz w:val="20"/>
                          <w:szCs w:val="20"/>
                        </w:rPr>
                        <w:t>é</w:t>
                      </w:r>
                      <w:r w:rsidRPr="00D2383F">
                        <w:rPr>
                          <w:rFonts w:ascii="Berlin Sans FB Demi" w:hAnsi="Berlin Sans FB Demi"/>
                          <w:color w:val="548DD4" w:themeColor="text2" w:themeTint="99"/>
                          <w:sz w:val="20"/>
                          <w:szCs w:val="20"/>
                        </w:rPr>
                        <w:t>lioration de la sécurité alimentaire du Burkina Faso</w:t>
                      </w:r>
                      <w:r>
                        <w:rPr>
                          <w:rFonts w:ascii="Berlin Sans FB Demi" w:hAnsi="Berlin Sans FB Demi"/>
                          <w:color w:val="548DD4" w:themeColor="text2" w:themeTint="99"/>
                          <w:sz w:val="20"/>
                          <w:szCs w:val="20"/>
                        </w:rPr>
                        <w:t xml:space="preserve"> </w:t>
                      </w:r>
                      <w:r w:rsidRPr="00D2383F">
                        <w:rPr>
                          <w:rFonts w:ascii="Berlin Sans FB Demi" w:hAnsi="Berlin Sans FB Demi"/>
                          <w:color w:val="548DD4" w:themeColor="text2" w:themeTint="99"/>
                          <w:sz w:val="20"/>
                          <w:szCs w:val="20"/>
                        </w:rPr>
                        <w:t>»</w:t>
                      </w:r>
                    </w:p>
                    <w:p w:rsidR="004408D4" w:rsidRPr="007C68CA" w:rsidRDefault="004408D4" w:rsidP="004408D4">
                      <w:pPr>
                        <w:spacing w:after="0" w:line="360" w:lineRule="auto"/>
                        <w:jc w:val="center"/>
                        <w:rPr>
                          <w:rFonts w:ascii="Berlin Sans FB Demi" w:hAnsi="Berlin Sans FB Demi"/>
                          <w:b/>
                          <w:szCs w:val="24"/>
                        </w:rPr>
                      </w:pPr>
                      <w:r w:rsidRPr="007C68CA">
                        <w:rPr>
                          <w:rFonts w:ascii="Berlin Sans FB Demi" w:hAnsi="Berlin Sans FB Demi"/>
                          <w:b/>
                          <w:szCs w:val="24"/>
                        </w:rPr>
                        <w:t>(</w:t>
                      </w:r>
                      <w:r w:rsidR="001D058B" w:rsidRPr="007C68CA">
                        <w:rPr>
                          <w:rFonts w:ascii="Berlin Sans FB Demi" w:hAnsi="Berlin Sans FB Demi"/>
                          <w:b/>
                          <w:szCs w:val="24"/>
                        </w:rPr>
                        <w:t xml:space="preserve">Juillet - </w:t>
                      </w:r>
                      <w:r w:rsidRPr="007C68CA">
                        <w:rPr>
                          <w:rFonts w:ascii="Berlin Sans FB Demi" w:hAnsi="Berlin Sans FB Demi"/>
                          <w:b/>
                          <w:szCs w:val="24"/>
                        </w:rPr>
                        <w:t>décembre 2014)</w:t>
                      </w:r>
                    </w:p>
                    <w:p w:rsidR="004408D4" w:rsidRDefault="004408D4" w:rsidP="004408D4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4408D4" w:rsidRPr="007436BB" w:rsidRDefault="004408D4" w:rsidP="004408D4">
      <w:pPr>
        <w:spacing w:before="120" w:after="240"/>
        <w:jc w:val="both"/>
        <w:rPr>
          <w:rFonts w:ascii="Garamond" w:eastAsia="Times New Roman" w:hAnsi="Garamond" w:cs="Arial"/>
          <w:szCs w:val="24"/>
        </w:rPr>
      </w:pPr>
    </w:p>
    <w:p w:rsidR="004408D4" w:rsidRPr="007436BB" w:rsidRDefault="004408D4" w:rsidP="007C68CA">
      <w:pPr>
        <w:spacing w:before="120" w:after="240"/>
        <w:rPr>
          <w:rFonts w:ascii="Garamond" w:eastAsia="Times New Roman" w:hAnsi="Garamond" w:cs="Arial"/>
          <w:noProof/>
          <w:szCs w:val="24"/>
          <w:lang w:eastAsia="fr-FR"/>
        </w:rPr>
      </w:pPr>
    </w:p>
    <w:p w:rsidR="001D058B" w:rsidRPr="007436BB" w:rsidRDefault="001D058B" w:rsidP="004408D4">
      <w:pPr>
        <w:spacing w:before="120" w:after="240"/>
        <w:jc w:val="center"/>
        <w:rPr>
          <w:rFonts w:ascii="Garamond" w:eastAsia="Times New Roman" w:hAnsi="Garamond" w:cs="Arial"/>
          <w:noProof/>
          <w:szCs w:val="24"/>
          <w:lang w:eastAsia="fr-FR"/>
        </w:rPr>
      </w:pPr>
    </w:p>
    <w:p w:rsidR="001D058B" w:rsidRPr="007436BB" w:rsidRDefault="001D058B" w:rsidP="004408D4">
      <w:pPr>
        <w:spacing w:before="120" w:after="240"/>
        <w:jc w:val="center"/>
        <w:rPr>
          <w:rFonts w:ascii="Garamond" w:eastAsia="Times New Roman" w:hAnsi="Garamond" w:cs="Arial"/>
          <w:noProof/>
          <w:szCs w:val="24"/>
          <w:lang w:eastAsia="fr-FR"/>
        </w:rPr>
      </w:pPr>
    </w:p>
    <w:p w:rsidR="001D058B" w:rsidRPr="007436BB" w:rsidRDefault="001D058B" w:rsidP="004408D4">
      <w:pPr>
        <w:spacing w:before="120" w:after="240"/>
        <w:jc w:val="center"/>
        <w:rPr>
          <w:rFonts w:ascii="Garamond" w:eastAsia="Times New Roman" w:hAnsi="Garamond" w:cs="Arial"/>
          <w:noProof/>
          <w:szCs w:val="24"/>
          <w:lang w:eastAsia="fr-FR"/>
        </w:rPr>
      </w:pPr>
    </w:p>
    <w:p w:rsidR="001D058B" w:rsidRPr="007436BB" w:rsidRDefault="001D058B" w:rsidP="004408D4">
      <w:pPr>
        <w:spacing w:before="120" w:after="240"/>
        <w:jc w:val="center"/>
        <w:rPr>
          <w:rFonts w:ascii="Garamond" w:eastAsia="Times New Roman" w:hAnsi="Garamond" w:cs="Arial"/>
          <w:noProof/>
          <w:szCs w:val="24"/>
          <w:lang w:eastAsia="fr-FR"/>
        </w:rPr>
      </w:pPr>
    </w:p>
    <w:p w:rsidR="004408D4" w:rsidRPr="007436BB" w:rsidRDefault="00D3610B" w:rsidP="004408D4">
      <w:pPr>
        <w:spacing w:before="120" w:after="240"/>
        <w:ind w:left="7080" w:firstLine="708"/>
        <w:jc w:val="right"/>
        <w:rPr>
          <w:rFonts w:ascii="Garamond" w:hAnsi="Garamond"/>
          <w:color w:val="548DD4" w:themeColor="text2" w:themeTint="99"/>
          <w:szCs w:val="24"/>
        </w:rPr>
      </w:pPr>
      <w:r w:rsidRPr="007436BB">
        <w:rPr>
          <w:rFonts w:ascii="Garamond" w:eastAsia="Times New Roman" w:hAnsi="Garamond" w:cs="Arial"/>
          <w:noProof/>
          <w:szCs w:val="24"/>
          <w:lang w:val="en-US"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AAEB5E" wp14:editId="47146637">
                <wp:simplePos x="0" y="0"/>
                <wp:positionH relativeFrom="column">
                  <wp:posOffset>2514600</wp:posOffset>
                </wp:positionH>
                <wp:positionV relativeFrom="paragraph">
                  <wp:posOffset>794385</wp:posOffset>
                </wp:positionV>
                <wp:extent cx="1398270" cy="292735"/>
                <wp:effectExtent l="19050" t="19050" r="11430" b="12065"/>
                <wp:wrapNone/>
                <wp:docPr id="65" name="Zone de text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8270" cy="29273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08D4" w:rsidRPr="002020EF" w:rsidRDefault="001D058B" w:rsidP="004408D4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</w:rPr>
                              <w:t>Janvier</w:t>
                            </w:r>
                            <w:r w:rsidR="004408D4">
                              <w:rPr>
                                <w:rFonts w:ascii="Garamond" w:hAnsi="Garamond"/>
                                <w:b/>
                              </w:rPr>
                              <w:t xml:space="preserve"> </w:t>
                            </w:r>
                            <w:r w:rsidR="004408D4" w:rsidRPr="002020EF">
                              <w:rPr>
                                <w:rFonts w:ascii="Garamond" w:hAnsi="Garamond"/>
                                <w:b/>
                              </w:rPr>
                              <w:t>201</w:t>
                            </w:r>
                            <w:r>
                              <w:rPr>
                                <w:rFonts w:ascii="Garamond" w:hAnsi="Garamond"/>
                                <w:b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AEB5E" id="Zone de texte 65" o:spid="_x0000_s1027" type="#_x0000_t202" style="position:absolute;left:0;text-align:left;margin-left:198pt;margin-top:62.55pt;width:110.1pt;height:2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" fillcolor="white [3201]" strokecolor="#9bbb59 [3206]" strokeweight="3pt">
                <v:path arrowok="t"/>
                <v:textbox>
                  <w:txbxContent>
                    <w:p w:rsidR="004408D4" w:rsidRPr="002020EF" w:rsidRDefault="001D058B" w:rsidP="004408D4">
                      <w:pPr>
                        <w:jc w:val="center"/>
                        <w:rPr>
                          <w:rFonts w:ascii="Garamond" w:hAnsi="Garamond"/>
                          <w:b/>
                        </w:rPr>
                      </w:pPr>
                      <w:r>
                        <w:rPr>
                          <w:rFonts w:ascii="Garamond" w:hAnsi="Garamond"/>
                          <w:b/>
                        </w:rPr>
                        <w:t>Janvier</w:t>
                      </w:r>
                      <w:r w:rsidR="004408D4">
                        <w:rPr>
                          <w:rFonts w:ascii="Garamond" w:hAnsi="Garamond"/>
                          <w:b/>
                        </w:rPr>
                        <w:t xml:space="preserve"> </w:t>
                      </w:r>
                      <w:r w:rsidR="004408D4" w:rsidRPr="002020EF">
                        <w:rPr>
                          <w:rFonts w:ascii="Garamond" w:hAnsi="Garamond"/>
                          <w:b/>
                        </w:rPr>
                        <w:t>201</w:t>
                      </w:r>
                      <w:r>
                        <w:rPr>
                          <w:rFonts w:ascii="Garamond" w:hAnsi="Garamond"/>
                          <w:b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4408D4" w:rsidRPr="007436BB">
        <w:rPr>
          <w:rFonts w:ascii="Garamond" w:hAnsi="Garamond"/>
          <w:noProof/>
          <w:szCs w:val="24"/>
          <w:lang w:val="en-US" w:eastAsia="ja-JP"/>
        </w:rPr>
        <w:drawing>
          <wp:anchor distT="0" distB="0" distL="114300" distR="114300" simplePos="0" relativeHeight="251662336" behindDoc="0" locked="0" layoutInCell="1" allowOverlap="1" wp14:anchorId="74A2297D" wp14:editId="0C1E94A1">
            <wp:simplePos x="0" y="0"/>
            <wp:positionH relativeFrom="column">
              <wp:posOffset>351155</wp:posOffset>
            </wp:positionH>
            <wp:positionV relativeFrom="paragraph">
              <wp:posOffset>3175</wp:posOffset>
            </wp:positionV>
            <wp:extent cx="396000" cy="543757"/>
            <wp:effectExtent l="0" t="0" r="4445" b="8890"/>
            <wp:wrapNone/>
            <wp:docPr id="67" name="Image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300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9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" cy="543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408D4" w:rsidRPr="007436BB">
        <w:rPr>
          <w:rFonts w:ascii="Garamond" w:hAnsi="Garamond"/>
          <w:noProof/>
          <w:szCs w:val="24"/>
          <w:lang w:val="en-US" w:eastAsia="ja-JP"/>
        </w:rPr>
        <w:drawing>
          <wp:inline distT="0" distB="0" distL="0" distR="0" wp14:anchorId="0C388D7A" wp14:editId="70984281">
            <wp:extent cx="390689" cy="792000"/>
            <wp:effectExtent l="0" t="0" r="9525" b="8255"/>
            <wp:docPr id="66" name="Imag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689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dt>
      <w:sdtPr>
        <w:rPr>
          <w:rFonts w:ascii="Garamond" w:eastAsiaTheme="minorHAnsi" w:hAnsi="Garamond" w:cstheme="minorBidi"/>
          <w:b w:val="0"/>
          <w:bCs w:val="0"/>
          <w:color w:val="auto"/>
          <w:sz w:val="24"/>
          <w:szCs w:val="22"/>
          <w:lang w:eastAsia="en-US"/>
        </w:rPr>
        <w:id w:val="-1764526389"/>
        <w:docPartObj>
          <w:docPartGallery w:val="Table of Contents"/>
          <w:docPartUnique/>
        </w:docPartObj>
      </w:sdtPr>
      <w:sdtEndPr>
        <w:rPr>
          <w:rFonts w:eastAsiaTheme="minorEastAsia"/>
        </w:rPr>
      </w:sdtEndPr>
      <w:sdtContent>
        <w:p w:rsidR="009D6FDD" w:rsidRPr="007436BB" w:rsidRDefault="009D6FDD">
          <w:pPr>
            <w:pStyle w:val="a3"/>
            <w:rPr>
              <w:rFonts w:ascii="Garamond" w:hAnsi="Garamond"/>
            </w:rPr>
          </w:pPr>
          <w:r w:rsidRPr="007436BB">
            <w:rPr>
              <w:rFonts w:ascii="Garamond" w:hAnsi="Garamond"/>
            </w:rPr>
            <w:t>Table des matières</w:t>
          </w:r>
        </w:p>
        <w:p w:rsidR="00F654BB" w:rsidRPr="007436BB" w:rsidRDefault="007B18DB">
          <w:pPr>
            <w:pStyle w:val="11"/>
            <w:tabs>
              <w:tab w:val="right" w:leader="dot" w:pos="9062"/>
            </w:tabs>
            <w:rPr>
              <w:rFonts w:ascii="Garamond" w:hAnsi="Garamond"/>
              <w:noProof/>
              <w:sz w:val="22"/>
              <w:lang w:eastAsia="fr-FR"/>
            </w:rPr>
          </w:pPr>
          <w:r w:rsidRPr="007436BB">
            <w:rPr>
              <w:rFonts w:ascii="Garamond" w:hAnsi="Garamond"/>
            </w:rPr>
            <w:fldChar w:fldCharType="begin"/>
          </w:r>
          <w:r w:rsidR="009D6FDD" w:rsidRPr="007436BB">
            <w:rPr>
              <w:rFonts w:ascii="Garamond" w:hAnsi="Garamond"/>
            </w:rPr>
            <w:instrText xml:space="preserve"> TOC \o "1-3" \h \z \u </w:instrText>
          </w:r>
          <w:r w:rsidRPr="007436BB">
            <w:rPr>
              <w:rFonts w:ascii="Garamond" w:hAnsi="Garamond"/>
            </w:rPr>
            <w:fldChar w:fldCharType="separate"/>
          </w:r>
          <w:hyperlink w:anchor="_Toc408615909" w:history="1">
            <w:r w:rsidR="00F654BB" w:rsidRPr="007436BB">
              <w:rPr>
                <w:rStyle w:val="a4"/>
                <w:rFonts w:ascii="Garamond" w:eastAsiaTheme="majorEastAsia" w:hAnsi="Garamond" w:cstheme="majorBidi"/>
                <w:b/>
                <w:bCs/>
                <w:noProof/>
                <w:lang w:eastAsia="fr-FR"/>
              </w:rPr>
              <w:t>Introduction</w:t>
            </w:r>
            <w:r w:rsidR="00F654BB" w:rsidRPr="007436BB">
              <w:rPr>
                <w:rFonts w:ascii="Garamond" w:hAnsi="Garamond"/>
                <w:noProof/>
                <w:webHidden/>
              </w:rPr>
              <w:tab/>
            </w:r>
            <w:r w:rsidRPr="007436BB">
              <w:rPr>
                <w:rFonts w:ascii="Garamond" w:hAnsi="Garamond"/>
                <w:noProof/>
                <w:webHidden/>
              </w:rPr>
              <w:fldChar w:fldCharType="begin"/>
            </w:r>
            <w:r w:rsidR="00F654BB" w:rsidRPr="007436BB">
              <w:rPr>
                <w:rFonts w:ascii="Garamond" w:hAnsi="Garamond"/>
                <w:noProof/>
                <w:webHidden/>
              </w:rPr>
              <w:instrText xml:space="preserve"> PAGEREF _Toc408615909 \h </w:instrText>
            </w:r>
            <w:r w:rsidRPr="007436BB">
              <w:rPr>
                <w:rFonts w:ascii="Garamond" w:hAnsi="Garamond"/>
                <w:noProof/>
                <w:webHidden/>
              </w:rPr>
            </w:r>
            <w:r w:rsidRPr="007436BB">
              <w:rPr>
                <w:rFonts w:ascii="Garamond" w:hAnsi="Garamond"/>
                <w:noProof/>
                <w:webHidden/>
              </w:rPr>
              <w:fldChar w:fldCharType="separate"/>
            </w:r>
            <w:r w:rsidR="007C68CA" w:rsidRPr="007436BB">
              <w:rPr>
                <w:rFonts w:ascii="Garamond" w:hAnsi="Garamond"/>
                <w:noProof/>
                <w:webHidden/>
              </w:rPr>
              <w:t>4</w:t>
            </w:r>
            <w:r w:rsidRPr="007436BB">
              <w:rPr>
                <w:rFonts w:ascii="Garamond" w:hAnsi="Garamond"/>
                <w:noProof/>
                <w:webHidden/>
              </w:rPr>
              <w:fldChar w:fldCharType="end"/>
            </w:r>
          </w:hyperlink>
        </w:p>
        <w:p w:rsidR="00F654BB" w:rsidRPr="007436BB" w:rsidRDefault="00893025">
          <w:pPr>
            <w:pStyle w:val="11"/>
            <w:tabs>
              <w:tab w:val="left" w:pos="440"/>
              <w:tab w:val="right" w:leader="dot" w:pos="9062"/>
            </w:tabs>
            <w:rPr>
              <w:rFonts w:ascii="Garamond" w:hAnsi="Garamond"/>
              <w:noProof/>
              <w:sz w:val="22"/>
              <w:lang w:eastAsia="fr-FR"/>
            </w:rPr>
          </w:pPr>
          <w:hyperlink w:anchor="_Toc408615910" w:history="1">
            <w:r w:rsidR="00F654BB" w:rsidRPr="007436BB">
              <w:rPr>
                <w:rStyle w:val="a4"/>
                <w:rFonts w:ascii="Garamond" w:eastAsiaTheme="majorEastAsia" w:hAnsi="Garamond" w:cstheme="majorBidi"/>
                <w:b/>
                <w:bCs/>
                <w:noProof/>
                <w:lang w:eastAsia="fr-FR"/>
              </w:rPr>
              <w:t>1.</w:t>
            </w:r>
            <w:r w:rsidR="00F654BB" w:rsidRPr="007436BB">
              <w:rPr>
                <w:rFonts w:ascii="Garamond" w:hAnsi="Garamond"/>
                <w:noProof/>
                <w:sz w:val="22"/>
                <w:lang w:eastAsia="fr-FR"/>
              </w:rPr>
              <w:tab/>
            </w:r>
            <w:r w:rsidR="00F654BB" w:rsidRPr="007436BB">
              <w:rPr>
                <w:rStyle w:val="a4"/>
                <w:rFonts w:ascii="Garamond" w:eastAsiaTheme="majorEastAsia" w:hAnsi="Garamond" w:cstheme="majorBidi"/>
                <w:b/>
                <w:bCs/>
                <w:noProof/>
                <w:lang w:eastAsia="fr-FR"/>
              </w:rPr>
              <w:t>Bilan technique des activités</w:t>
            </w:r>
            <w:r w:rsidR="00F654BB" w:rsidRPr="007436BB">
              <w:rPr>
                <w:rFonts w:ascii="Garamond" w:hAnsi="Garamond"/>
                <w:noProof/>
                <w:webHidden/>
              </w:rPr>
              <w:tab/>
            </w:r>
            <w:r w:rsidR="007B18DB" w:rsidRPr="007436BB">
              <w:rPr>
                <w:rFonts w:ascii="Garamond" w:hAnsi="Garamond"/>
                <w:noProof/>
                <w:webHidden/>
              </w:rPr>
              <w:fldChar w:fldCharType="begin"/>
            </w:r>
            <w:r w:rsidR="00F654BB" w:rsidRPr="007436BB">
              <w:rPr>
                <w:rFonts w:ascii="Garamond" w:hAnsi="Garamond"/>
                <w:noProof/>
                <w:webHidden/>
              </w:rPr>
              <w:instrText xml:space="preserve"> PAGEREF _Toc408615910 \h </w:instrText>
            </w:r>
            <w:r w:rsidR="007B18DB" w:rsidRPr="007436BB">
              <w:rPr>
                <w:rFonts w:ascii="Garamond" w:hAnsi="Garamond"/>
                <w:noProof/>
                <w:webHidden/>
              </w:rPr>
            </w:r>
            <w:r w:rsidR="007B18DB" w:rsidRPr="007436BB">
              <w:rPr>
                <w:rFonts w:ascii="Garamond" w:hAnsi="Garamond"/>
                <w:noProof/>
                <w:webHidden/>
              </w:rPr>
              <w:fldChar w:fldCharType="separate"/>
            </w:r>
            <w:r w:rsidR="007C68CA" w:rsidRPr="007436BB">
              <w:rPr>
                <w:rFonts w:ascii="Garamond" w:hAnsi="Garamond"/>
                <w:noProof/>
                <w:webHidden/>
              </w:rPr>
              <w:t>4</w:t>
            </w:r>
            <w:r w:rsidR="007B18DB" w:rsidRPr="007436BB">
              <w:rPr>
                <w:rFonts w:ascii="Garamond" w:hAnsi="Garamond"/>
                <w:noProof/>
                <w:webHidden/>
              </w:rPr>
              <w:fldChar w:fldCharType="end"/>
            </w:r>
          </w:hyperlink>
        </w:p>
        <w:p w:rsidR="00F654BB" w:rsidRPr="007436BB" w:rsidRDefault="00893025">
          <w:pPr>
            <w:pStyle w:val="11"/>
            <w:tabs>
              <w:tab w:val="left" w:pos="660"/>
              <w:tab w:val="right" w:leader="dot" w:pos="9062"/>
            </w:tabs>
            <w:rPr>
              <w:rFonts w:ascii="Garamond" w:hAnsi="Garamond"/>
              <w:noProof/>
              <w:sz w:val="22"/>
              <w:lang w:eastAsia="fr-FR"/>
            </w:rPr>
          </w:pPr>
          <w:hyperlink w:anchor="_Toc408615911" w:history="1">
            <w:r w:rsidR="00F654BB" w:rsidRPr="007436BB">
              <w:rPr>
                <w:rStyle w:val="a4"/>
                <w:rFonts w:ascii="Garamond" w:eastAsiaTheme="majorEastAsia" w:hAnsi="Garamond" w:cstheme="majorBidi"/>
                <w:b/>
                <w:bCs/>
                <w:noProof/>
                <w:lang w:eastAsia="fr-FR"/>
              </w:rPr>
              <w:t>1.1.</w:t>
            </w:r>
            <w:r w:rsidR="00F654BB" w:rsidRPr="007436BB">
              <w:rPr>
                <w:rFonts w:ascii="Garamond" w:hAnsi="Garamond"/>
                <w:noProof/>
                <w:sz w:val="22"/>
                <w:lang w:eastAsia="fr-FR"/>
              </w:rPr>
              <w:tab/>
            </w:r>
            <w:r w:rsidR="00F654BB" w:rsidRPr="007436BB">
              <w:rPr>
                <w:rStyle w:val="a4"/>
                <w:rFonts w:ascii="Garamond" w:eastAsiaTheme="majorEastAsia" w:hAnsi="Garamond" w:cstheme="majorBidi"/>
                <w:b/>
                <w:bCs/>
                <w:noProof/>
                <w:lang w:eastAsia="fr-FR"/>
              </w:rPr>
              <w:t>L’état de mise en œuvre par composante est le suivant :</w:t>
            </w:r>
            <w:r w:rsidR="00F654BB" w:rsidRPr="007436BB">
              <w:rPr>
                <w:rFonts w:ascii="Garamond" w:hAnsi="Garamond"/>
                <w:noProof/>
                <w:webHidden/>
              </w:rPr>
              <w:tab/>
            </w:r>
            <w:r w:rsidR="007B18DB" w:rsidRPr="007436BB">
              <w:rPr>
                <w:rFonts w:ascii="Garamond" w:hAnsi="Garamond"/>
                <w:noProof/>
                <w:webHidden/>
              </w:rPr>
              <w:fldChar w:fldCharType="begin"/>
            </w:r>
            <w:r w:rsidR="00F654BB" w:rsidRPr="007436BB">
              <w:rPr>
                <w:rFonts w:ascii="Garamond" w:hAnsi="Garamond"/>
                <w:noProof/>
                <w:webHidden/>
              </w:rPr>
              <w:instrText xml:space="preserve"> PAGEREF _Toc408615911 \h </w:instrText>
            </w:r>
            <w:r w:rsidR="007B18DB" w:rsidRPr="007436BB">
              <w:rPr>
                <w:rFonts w:ascii="Garamond" w:hAnsi="Garamond"/>
                <w:noProof/>
                <w:webHidden/>
              </w:rPr>
            </w:r>
            <w:r w:rsidR="007B18DB" w:rsidRPr="007436BB">
              <w:rPr>
                <w:rFonts w:ascii="Garamond" w:hAnsi="Garamond"/>
                <w:noProof/>
                <w:webHidden/>
              </w:rPr>
              <w:fldChar w:fldCharType="separate"/>
            </w:r>
            <w:r w:rsidR="007C68CA" w:rsidRPr="007436BB">
              <w:rPr>
                <w:rFonts w:ascii="Garamond" w:hAnsi="Garamond"/>
                <w:noProof/>
                <w:webHidden/>
              </w:rPr>
              <w:t>4</w:t>
            </w:r>
            <w:r w:rsidR="007B18DB" w:rsidRPr="007436BB">
              <w:rPr>
                <w:rFonts w:ascii="Garamond" w:hAnsi="Garamond"/>
                <w:noProof/>
                <w:webHidden/>
              </w:rPr>
              <w:fldChar w:fldCharType="end"/>
            </w:r>
          </w:hyperlink>
        </w:p>
        <w:p w:rsidR="00F654BB" w:rsidRPr="007436BB" w:rsidRDefault="00893025">
          <w:pPr>
            <w:pStyle w:val="11"/>
            <w:tabs>
              <w:tab w:val="left" w:pos="660"/>
              <w:tab w:val="right" w:leader="dot" w:pos="9062"/>
            </w:tabs>
            <w:rPr>
              <w:rFonts w:ascii="Garamond" w:hAnsi="Garamond"/>
              <w:noProof/>
              <w:sz w:val="22"/>
              <w:lang w:eastAsia="fr-FR"/>
            </w:rPr>
          </w:pPr>
          <w:hyperlink w:anchor="_Toc408615912" w:history="1">
            <w:r w:rsidR="00F654BB" w:rsidRPr="007436BB">
              <w:rPr>
                <w:rStyle w:val="a4"/>
                <w:rFonts w:ascii="Garamond" w:eastAsiaTheme="majorEastAsia" w:hAnsi="Garamond" w:cstheme="majorBidi"/>
                <w:b/>
                <w:bCs/>
                <w:noProof/>
                <w:lang w:eastAsia="fr-FR"/>
              </w:rPr>
              <w:t>1.2.</w:t>
            </w:r>
            <w:r w:rsidR="00F654BB" w:rsidRPr="007436BB">
              <w:rPr>
                <w:rFonts w:ascii="Garamond" w:hAnsi="Garamond"/>
                <w:noProof/>
                <w:sz w:val="22"/>
                <w:lang w:eastAsia="fr-FR"/>
              </w:rPr>
              <w:tab/>
            </w:r>
            <w:r w:rsidR="00F654BB" w:rsidRPr="007436BB">
              <w:rPr>
                <w:rStyle w:val="a4"/>
                <w:rFonts w:ascii="Garamond" w:eastAsiaTheme="majorEastAsia" w:hAnsi="Garamond" w:cstheme="majorBidi"/>
                <w:b/>
                <w:bCs/>
                <w:noProof/>
                <w:lang w:eastAsia="fr-FR"/>
              </w:rPr>
              <w:t>Difficultés rencontrées / solutions proposées</w:t>
            </w:r>
            <w:r w:rsidR="00F654BB" w:rsidRPr="007436BB">
              <w:rPr>
                <w:rFonts w:ascii="Garamond" w:hAnsi="Garamond"/>
                <w:noProof/>
                <w:webHidden/>
              </w:rPr>
              <w:tab/>
            </w:r>
            <w:r w:rsidR="007B18DB" w:rsidRPr="007436BB">
              <w:rPr>
                <w:rFonts w:ascii="Garamond" w:hAnsi="Garamond"/>
                <w:noProof/>
                <w:webHidden/>
              </w:rPr>
              <w:fldChar w:fldCharType="begin"/>
            </w:r>
            <w:r w:rsidR="00F654BB" w:rsidRPr="007436BB">
              <w:rPr>
                <w:rFonts w:ascii="Garamond" w:hAnsi="Garamond"/>
                <w:noProof/>
                <w:webHidden/>
              </w:rPr>
              <w:instrText xml:space="preserve"> PAGEREF _Toc408615912 \h </w:instrText>
            </w:r>
            <w:r w:rsidR="007B18DB" w:rsidRPr="007436BB">
              <w:rPr>
                <w:rFonts w:ascii="Garamond" w:hAnsi="Garamond"/>
                <w:noProof/>
                <w:webHidden/>
              </w:rPr>
            </w:r>
            <w:r w:rsidR="007B18DB" w:rsidRPr="007436BB">
              <w:rPr>
                <w:rFonts w:ascii="Garamond" w:hAnsi="Garamond"/>
                <w:noProof/>
                <w:webHidden/>
              </w:rPr>
              <w:fldChar w:fldCharType="separate"/>
            </w:r>
            <w:r w:rsidR="007C68CA" w:rsidRPr="007436BB">
              <w:rPr>
                <w:rFonts w:ascii="Garamond" w:hAnsi="Garamond"/>
                <w:noProof/>
                <w:webHidden/>
              </w:rPr>
              <w:t>6</w:t>
            </w:r>
            <w:r w:rsidR="007B18DB" w:rsidRPr="007436BB">
              <w:rPr>
                <w:rFonts w:ascii="Garamond" w:hAnsi="Garamond"/>
                <w:noProof/>
                <w:webHidden/>
              </w:rPr>
              <w:fldChar w:fldCharType="end"/>
            </w:r>
          </w:hyperlink>
        </w:p>
        <w:p w:rsidR="00F654BB" w:rsidRPr="007436BB" w:rsidRDefault="00893025">
          <w:pPr>
            <w:pStyle w:val="11"/>
            <w:tabs>
              <w:tab w:val="left" w:pos="660"/>
              <w:tab w:val="right" w:leader="dot" w:pos="9062"/>
            </w:tabs>
            <w:rPr>
              <w:rFonts w:ascii="Garamond" w:hAnsi="Garamond"/>
              <w:noProof/>
              <w:sz w:val="22"/>
              <w:lang w:eastAsia="fr-FR"/>
            </w:rPr>
          </w:pPr>
          <w:hyperlink w:anchor="_Toc408615913" w:history="1">
            <w:r w:rsidR="00F654BB" w:rsidRPr="007436BB">
              <w:rPr>
                <w:rStyle w:val="a4"/>
                <w:rFonts w:ascii="Garamond" w:eastAsiaTheme="majorEastAsia" w:hAnsi="Garamond" w:cstheme="majorBidi"/>
                <w:b/>
                <w:bCs/>
                <w:noProof/>
                <w:lang w:eastAsia="fr-FR"/>
              </w:rPr>
              <w:t>1.3.</w:t>
            </w:r>
            <w:r w:rsidR="00F654BB" w:rsidRPr="007436BB">
              <w:rPr>
                <w:rFonts w:ascii="Garamond" w:hAnsi="Garamond"/>
                <w:noProof/>
                <w:sz w:val="22"/>
                <w:lang w:eastAsia="fr-FR"/>
              </w:rPr>
              <w:tab/>
            </w:r>
            <w:r w:rsidR="00F654BB" w:rsidRPr="007436BB">
              <w:rPr>
                <w:rStyle w:val="a4"/>
                <w:rFonts w:ascii="Garamond" w:eastAsiaTheme="majorEastAsia" w:hAnsi="Garamond" w:cstheme="majorBidi"/>
                <w:b/>
                <w:bCs/>
                <w:noProof/>
                <w:lang w:eastAsia="fr-FR"/>
              </w:rPr>
              <w:t>Perspectives</w:t>
            </w:r>
            <w:r w:rsidR="00F654BB" w:rsidRPr="007436BB">
              <w:rPr>
                <w:rFonts w:ascii="Garamond" w:hAnsi="Garamond"/>
                <w:noProof/>
                <w:webHidden/>
              </w:rPr>
              <w:tab/>
            </w:r>
            <w:r w:rsidR="007B18DB" w:rsidRPr="007436BB">
              <w:rPr>
                <w:rFonts w:ascii="Garamond" w:hAnsi="Garamond"/>
                <w:noProof/>
                <w:webHidden/>
              </w:rPr>
              <w:fldChar w:fldCharType="begin"/>
            </w:r>
            <w:r w:rsidR="00F654BB" w:rsidRPr="007436BB">
              <w:rPr>
                <w:rFonts w:ascii="Garamond" w:hAnsi="Garamond"/>
                <w:noProof/>
                <w:webHidden/>
              </w:rPr>
              <w:instrText xml:space="preserve"> PAGEREF _Toc408615913 \h </w:instrText>
            </w:r>
            <w:r w:rsidR="007B18DB" w:rsidRPr="007436BB">
              <w:rPr>
                <w:rFonts w:ascii="Garamond" w:hAnsi="Garamond"/>
                <w:noProof/>
                <w:webHidden/>
              </w:rPr>
            </w:r>
            <w:r w:rsidR="007B18DB" w:rsidRPr="007436BB">
              <w:rPr>
                <w:rFonts w:ascii="Garamond" w:hAnsi="Garamond"/>
                <w:noProof/>
                <w:webHidden/>
              </w:rPr>
              <w:fldChar w:fldCharType="separate"/>
            </w:r>
            <w:r w:rsidR="007C68CA" w:rsidRPr="007436BB">
              <w:rPr>
                <w:rFonts w:ascii="Garamond" w:hAnsi="Garamond"/>
                <w:noProof/>
                <w:webHidden/>
              </w:rPr>
              <w:t>6</w:t>
            </w:r>
            <w:r w:rsidR="007B18DB" w:rsidRPr="007436BB">
              <w:rPr>
                <w:rFonts w:ascii="Garamond" w:hAnsi="Garamond"/>
                <w:noProof/>
                <w:webHidden/>
              </w:rPr>
              <w:fldChar w:fldCharType="end"/>
            </w:r>
          </w:hyperlink>
        </w:p>
        <w:p w:rsidR="00F654BB" w:rsidRPr="007436BB" w:rsidRDefault="00893025">
          <w:pPr>
            <w:pStyle w:val="11"/>
            <w:tabs>
              <w:tab w:val="left" w:pos="440"/>
              <w:tab w:val="right" w:leader="dot" w:pos="9062"/>
            </w:tabs>
            <w:rPr>
              <w:rFonts w:ascii="Garamond" w:hAnsi="Garamond"/>
              <w:noProof/>
              <w:sz w:val="22"/>
              <w:lang w:eastAsia="fr-FR"/>
            </w:rPr>
          </w:pPr>
          <w:hyperlink w:anchor="_Toc408615914" w:history="1">
            <w:r w:rsidR="00F654BB" w:rsidRPr="007436BB">
              <w:rPr>
                <w:rStyle w:val="a4"/>
                <w:rFonts w:ascii="Garamond" w:eastAsiaTheme="majorEastAsia" w:hAnsi="Garamond" w:cstheme="majorBidi"/>
                <w:b/>
                <w:bCs/>
                <w:noProof/>
                <w:lang w:eastAsia="fr-FR"/>
              </w:rPr>
              <w:t>2.</w:t>
            </w:r>
            <w:r w:rsidR="00F654BB" w:rsidRPr="007436BB">
              <w:rPr>
                <w:rFonts w:ascii="Garamond" w:hAnsi="Garamond"/>
                <w:noProof/>
                <w:sz w:val="22"/>
                <w:lang w:eastAsia="fr-FR"/>
              </w:rPr>
              <w:tab/>
            </w:r>
            <w:r w:rsidR="00F654BB" w:rsidRPr="007436BB">
              <w:rPr>
                <w:rStyle w:val="a4"/>
                <w:rFonts w:ascii="Garamond" w:eastAsiaTheme="majorEastAsia" w:hAnsi="Garamond" w:cstheme="majorBidi"/>
                <w:b/>
                <w:bCs/>
                <w:noProof/>
                <w:lang w:eastAsia="fr-FR"/>
              </w:rPr>
              <w:t>Bilan financier</w:t>
            </w:r>
            <w:r w:rsidR="00F654BB" w:rsidRPr="007436BB">
              <w:rPr>
                <w:rFonts w:ascii="Garamond" w:hAnsi="Garamond"/>
                <w:noProof/>
                <w:webHidden/>
              </w:rPr>
              <w:tab/>
            </w:r>
            <w:r w:rsidR="007B18DB" w:rsidRPr="007436BB">
              <w:rPr>
                <w:rFonts w:ascii="Garamond" w:hAnsi="Garamond"/>
                <w:noProof/>
                <w:webHidden/>
              </w:rPr>
              <w:fldChar w:fldCharType="begin"/>
            </w:r>
            <w:r w:rsidR="00F654BB" w:rsidRPr="007436BB">
              <w:rPr>
                <w:rFonts w:ascii="Garamond" w:hAnsi="Garamond"/>
                <w:noProof/>
                <w:webHidden/>
              </w:rPr>
              <w:instrText xml:space="preserve"> PAGEREF _Toc408615914 \h </w:instrText>
            </w:r>
            <w:r w:rsidR="007B18DB" w:rsidRPr="007436BB">
              <w:rPr>
                <w:rFonts w:ascii="Garamond" w:hAnsi="Garamond"/>
                <w:noProof/>
                <w:webHidden/>
              </w:rPr>
            </w:r>
            <w:r w:rsidR="007B18DB" w:rsidRPr="007436BB">
              <w:rPr>
                <w:rFonts w:ascii="Garamond" w:hAnsi="Garamond"/>
                <w:noProof/>
                <w:webHidden/>
              </w:rPr>
              <w:fldChar w:fldCharType="separate"/>
            </w:r>
            <w:r w:rsidR="007C68CA" w:rsidRPr="007436BB">
              <w:rPr>
                <w:rFonts w:ascii="Garamond" w:hAnsi="Garamond"/>
                <w:noProof/>
                <w:webHidden/>
              </w:rPr>
              <w:t>7</w:t>
            </w:r>
            <w:r w:rsidR="007B18DB" w:rsidRPr="007436BB">
              <w:rPr>
                <w:rFonts w:ascii="Garamond" w:hAnsi="Garamond"/>
                <w:noProof/>
                <w:webHidden/>
              </w:rPr>
              <w:fldChar w:fldCharType="end"/>
            </w:r>
          </w:hyperlink>
        </w:p>
        <w:p w:rsidR="00F654BB" w:rsidRPr="007436BB" w:rsidRDefault="00893025">
          <w:pPr>
            <w:pStyle w:val="11"/>
            <w:tabs>
              <w:tab w:val="right" w:leader="dot" w:pos="9062"/>
            </w:tabs>
            <w:rPr>
              <w:rFonts w:ascii="Garamond" w:hAnsi="Garamond"/>
              <w:noProof/>
              <w:sz w:val="22"/>
              <w:lang w:eastAsia="fr-FR"/>
            </w:rPr>
          </w:pPr>
          <w:hyperlink w:anchor="_Toc408615915" w:history="1">
            <w:r w:rsidR="00F654BB" w:rsidRPr="007436BB">
              <w:rPr>
                <w:rStyle w:val="a4"/>
                <w:rFonts w:ascii="Garamond" w:eastAsiaTheme="majorEastAsia" w:hAnsi="Garamond" w:cstheme="majorBidi"/>
                <w:b/>
                <w:bCs/>
                <w:noProof/>
                <w:lang w:eastAsia="fr-FR"/>
              </w:rPr>
              <w:t>Conclusion</w:t>
            </w:r>
            <w:r w:rsidR="00F654BB" w:rsidRPr="007436BB">
              <w:rPr>
                <w:rFonts w:ascii="Garamond" w:hAnsi="Garamond"/>
                <w:noProof/>
                <w:webHidden/>
              </w:rPr>
              <w:tab/>
            </w:r>
            <w:r w:rsidR="007B18DB" w:rsidRPr="007436BB">
              <w:rPr>
                <w:rFonts w:ascii="Garamond" w:hAnsi="Garamond"/>
                <w:noProof/>
                <w:webHidden/>
              </w:rPr>
              <w:fldChar w:fldCharType="begin"/>
            </w:r>
            <w:r w:rsidR="00F654BB" w:rsidRPr="007436BB">
              <w:rPr>
                <w:rFonts w:ascii="Garamond" w:hAnsi="Garamond"/>
                <w:noProof/>
                <w:webHidden/>
              </w:rPr>
              <w:instrText xml:space="preserve"> PAGEREF _Toc408615915 \h </w:instrText>
            </w:r>
            <w:r w:rsidR="007B18DB" w:rsidRPr="007436BB">
              <w:rPr>
                <w:rFonts w:ascii="Garamond" w:hAnsi="Garamond"/>
                <w:noProof/>
                <w:webHidden/>
              </w:rPr>
            </w:r>
            <w:r w:rsidR="007B18DB" w:rsidRPr="007436BB">
              <w:rPr>
                <w:rFonts w:ascii="Garamond" w:hAnsi="Garamond"/>
                <w:noProof/>
                <w:webHidden/>
              </w:rPr>
              <w:fldChar w:fldCharType="separate"/>
            </w:r>
            <w:r w:rsidR="007C68CA" w:rsidRPr="007436BB">
              <w:rPr>
                <w:rFonts w:ascii="Garamond" w:hAnsi="Garamond"/>
                <w:noProof/>
                <w:webHidden/>
              </w:rPr>
              <w:t>7</w:t>
            </w:r>
            <w:r w:rsidR="007B18DB" w:rsidRPr="007436BB">
              <w:rPr>
                <w:rFonts w:ascii="Garamond" w:hAnsi="Garamond"/>
                <w:noProof/>
                <w:webHidden/>
              </w:rPr>
              <w:fldChar w:fldCharType="end"/>
            </w:r>
          </w:hyperlink>
        </w:p>
        <w:p w:rsidR="009D6FDD" w:rsidRPr="007436BB" w:rsidRDefault="007B18DB">
          <w:pPr>
            <w:rPr>
              <w:rFonts w:ascii="Garamond" w:hAnsi="Garamond"/>
            </w:rPr>
          </w:pPr>
          <w:r w:rsidRPr="007436BB">
            <w:rPr>
              <w:rFonts w:ascii="Garamond" w:hAnsi="Garamond"/>
              <w:b/>
              <w:bCs/>
            </w:rPr>
            <w:fldChar w:fldCharType="end"/>
          </w:r>
        </w:p>
      </w:sdtContent>
    </w:sdt>
    <w:p w:rsidR="009D6FDD" w:rsidRPr="007436BB" w:rsidRDefault="009D6FDD">
      <w:pPr>
        <w:rPr>
          <w:rFonts w:ascii="Garamond" w:hAnsi="Garamond"/>
          <w:color w:val="548DD4" w:themeColor="text2" w:themeTint="99"/>
          <w:szCs w:val="24"/>
        </w:rPr>
      </w:pPr>
    </w:p>
    <w:p w:rsidR="009D6FDD" w:rsidRPr="007436BB" w:rsidRDefault="009D6FDD">
      <w:pPr>
        <w:rPr>
          <w:rFonts w:ascii="Garamond" w:hAnsi="Garamond"/>
          <w:color w:val="548DD4" w:themeColor="text2" w:themeTint="99"/>
          <w:szCs w:val="24"/>
        </w:rPr>
      </w:pPr>
      <w:r w:rsidRPr="007436BB">
        <w:rPr>
          <w:rFonts w:ascii="Garamond" w:hAnsi="Garamond"/>
          <w:color w:val="548DD4" w:themeColor="text2" w:themeTint="99"/>
          <w:szCs w:val="24"/>
        </w:rPr>
        <w:br w:type="page"/>
      </w:r>
    </w:p>
    <w:p w:rsidR="00F711CD" w:rsidRPr="007436BB" w:rsidRDefault="00F711CD" w:rsidP="00F654BB">
      <w:pPr>
        <w:tabs>
          <w:tab w:val="left" w:pos="4253"/>
        </w:tabs>
        <w:spacing w:after="0" w:line="23" w:lineRule="atLeast"/>
        <w:jc w:val="both"/>
        <w:rPr>
          <w:rFonts w:ascii="Garamond" w:hAnsi="Garamond"/>
          <w:b/>
          <w:sz w:val="22"/>
          <w:lang w:eastAsia="fr-FR"/>
        </w:rPr>
      </w:pPr>
    </w:p>
    <w:p w:rsidR="00F711CD" w:rsidRPr="007436BB" w:rsidRDefault="00F711CD" w:rsidP="00F711CD">
      <w:pPr>
        <w:tabs>
          <w:tab w:val="left" w:pos="4253"/>
        </w:tabs>
        <w:spacing w:after="0" w:line="23" w:lineRule="atLeast"/>
        <w:jc w:val="both"/>
        <w:rPr>
          <w:rFonts w:ascii="Garamond" w:hAnsi="Garamond"/>
          <w:b/>
          <w:sz w:val="22"/>
          <w:lang w:eastAsia="fr-FR"/>
        </w:rPr>
      </w:pPr>
    </w:p>
    <w:tbl>
      <w:tblPr>
        <w:tblStyle w:val="a7"/>
        <w:tblpPr w:leftFromText="180" w:rightFromText="180" w:vertAnchor="text" w:horzAnchor="margin" w:tblpXSpec="center" w:tblpY="-502"/>
        <w:tblW w:w="9630" w:type="dxa"/>
        <w:tblLook w:val="04A0" w:firstRow="1" w:lastRow="0" w:firstColumn="1" w:lastColumn="0" w:noHBand="0" w:noVBand="1"/>
      </w:tblPr>
      <w:tblGrid>
        <w:gridCol w:w="4644"/>
        <w:gridCol w:w="4986"/>
      </w:tblGrid>
      <w:tr w:rsidR="00F711CD" w:rsidRPr="007436BB" w:rsidTr="00F97FF7">
        <w:trPr>
          <w:trHeight w:val="671"/>
        </w:trPr>
        <w:tc>
          <w:tcPr>
            <w:tcW w:w="4644" w:type="dxa"/>
          </w:tcPr>
          <w:p w:rsidR="00F711CD" w:rsidRPr="007436BB" w:rsidRDefault="00F711CD" w:rsidP="00F711CD">
            <w:pPr>
              <w:spacing w:after="200" w:line="23" w:lineRule="atLeast"/>
              <w:jc w:val="both"/>
              <w:rPr>
                <w:rFonts w:ascii="Garamond" w:hAnsi="Garamond"/>
                <w:b/>
                <w:szCs w:val="24"/>
              </w:rPr>
            </w:pPr>
            <w:r w:rsidRPr="007436BB">
              <w:rPr>
                <w:rFonts w:ascii="Garamond" w:hAnsi="Garamond"/>
                <w:b/>
                <w:szCs w:val="24"/>
              </w:rPr>
              <w:t xml:space="preserve">Type de rapport : </w:t>
            </w:r>
          </w:p>
        </w:tc>
        <w:tc>
          <w:tcPr>
            <w:tcW w:w="4986" w:type="dxa"/>
          </w:tcPr>
          <w:p w:rsidR="00F711CD" w:rsidRPr="007436BB" w:rsidRDefault="00F711CD" w:rsidP="00F711CD">
            <w:pPr>
              <w:spacing w:after="200" w:line="23" w:lineRule="atLeast"/>
              <w:jc w:val="both"/>
              <w:rPr>
                <w:rFonts w:ascii="Garamond" w:hAnsi="Garamond"/>
              </w:rPr>
            </w:pPr>
            <w:r w:rsidRPr="007436BB">
              <w:rPr>
                <w:rFonts w:ascii="Garamond" w:hAnsi="Garamond"/>
              </w:rPr>
              <w:t xml:space="preserve">Rapport intermédiaire d’activités                </w:t>
            </w:r>
          </w:p>
        </w:tc>
      </w:tr>
      <w:tr w:rsidR="00F711CD" w:rsidRPr="007436BB" w:rsidTr="00F97FF7">
        <w:trPr>
          <w:trHeight w:val="652"/>
        </w:trPr>
        <w:tc>
          <w:tcPr>
            <w:tcW w:w="4644" w:type="dxa"/>
          </w:tcPr>
          <w:p w:rsidR="00F711CD" w:rsidRPr="007436BB" w:rsidRDefault="00F711CD" w:rsidP="00F711CD">
            <w:pPr>
              <w:spacing w:after="200" w:line="23" w:lineRule="atLeast"/>
              <w:jc w:val="both"/>
              <w:rPr>
                <w:rFonts w:ascii="Garamond" w:hAnsi="Garamond"/>
                <w:b/>
                <w:szCs w:val="24"/>
              </w:rPr>
            </w:pPr>
            <w:r w:rsidRPr="007436BB">
              <w:rPr>
                <w:rFonts w:ascii="Garamond" w:hAnsi="Garamond"/>
                <w:b/>
                <w:szCs w:val="24"/>
              </w:rPr>
              <w:t xml:space="preserve">Titre du projet : </w:t>
            </w:r>
          </w:p>
        </w:tc>
        <w:tc>
          <w:tcPr>
            <w:tcW w:w="4986" w:type="dxa"/>
          </w:tcPr>
          <w:p w:rsidR="00F711CD" w:rsidRPr="007436BB" w:rsidRDefault="00F711CD" w:rsidP="00F711CD">
            <w:pPr>
              <w:spacing w:after="200" w:line="23" w:lineRule="atLeast"/>
              <w:jc w:val="both"/>
              <w:rPr>
                <w:rFonts w:ascii="Garamond" w:hAnsi="Garamond"/>
                <w:szCs w:val="24"/>
              </w:rPr>
            </w:pPr>
            <w:r w:rsidRPr="007436BB">
              <w:rPr>
                <w:rFonts w:ascii="Garamond" w:hAnsi="Garamond"/>
                <w:szCs w:val="24"/>
              </w:rPr>
              <w:t xml:space="preserve">Programme Régional d’Adaptation en Afrique et la sécurité alimentaire </w:t>
            </w:r>
          </w:p>
        </w:tc>
      </w:tr>
      <w:tr w:rsidR="00F711CD" w:rsidRPr="007436BB" w:rsidTr="00F97FF7">
        <w:trPr>
          <w:trHeight w:val="671"/>
        </w:trPr>
        <w:tc>
          <w:tcPr>
            <w:tcW w:w="4644" w:type="dxa"/>
          </w:tcPr>
          <w:p w:rsidR="00F711CD" w:rsidRPr="007436BB" w:rsidRDefault="00F711CD" w:rsidP="00F711CD">
            <w:pPr>
              <w:spacing w:after="200" w:line="23" w:lineRule="atLeast"/>
              <w:jc w:val="both"/>
              <w:rPr>
                <w:rFonts w:ascii="Garamond" w:hAnsi="Garamond"/>
                <w:b/>
                <w:szCs w:val="24"/>
              </w:rPr>
            </w:pPr>
            <w:r w:rsidRPr="007436BB">
              <w:rPr>
                <w:rFonts w:ascii="Garamond" w:hAnsi="Garamond"/>
                <w:b/>
                <w:szCs w:val="24"/>
              </w:rPr>
              <w:t xml:space="preserve">Numéro d’identification  du projet : </w:t>
            </w:r>
          </w:p>
        </w:tc>
        <w:tc>
          <w:tcPr>
            <w:tcW w:w="4986" w:type="dxa"/>
          </w:tcPr>
          <w:p w:rsidR="00F711CD" w:rsidRPr="007436BB" w:rsidRDefault="00F711CD" w:rsidP="00F711CD">
            <w:pPr>
              <w:spacing w:after="200" w:line="23" w:lineRule="atLeast"/>
              <w:jc w:val="both"/>
              <w:rPr>
                <w:rFonts w:ascii="Garamond" w:hAnsi="Garamond"/>
              </w:rPr>
            </w:pPr>
            <w:r w:rsidRPr="007436BB">
              <w:rPr>
                <w:rFonts w:ascii="Garamond" w:hAnsi="Garamond"/>
              </w:rPr>
              <w:t>00086980 (Project ID)</w:t>
            </w:r>
          </w:p>
          <w:p w:rsidR="00F711CD" w:rsidRPr="007436BB" w:rsidRDefault="00F711CD" w:rsidP="00F711CD">
            <w:pPr>
              <w:spacing w:after="200" w:line="23" w:lineRule="atLeast"/>
              <w:jc w:val="both"/>
              <w:rPr>
                <w:rFonts w:ascii="Garamond" w:hAnsi="Garamond"/>
              </w:rPr>
            </w:pPr>
            <w:r w:rsidRPr="007436BB">
              <w:rPr>
                <w:rFonts w:ascii="Garamond" w:hAnsi="Garamond"/>
              </w:rPr>
              <w:t>00074692 (</w:t>
            </w:r>
            <w:proofErr w:type="spellStart"/>
            <w:r w:rsidRPr="007436BB">
              <w:rPr>
                <w:rFonts w:ascii="Garamond" w:hAnsi="Garamond"/>
              </w:rPr>
              <w:t>Award</w:t>
            </w:r>
            <w:proofErr w:type="spellEnd"/>
            <w:r w:rsidRPr="007436BB">
              <w:rPr>
                <w:rFonts w:ascii="Garamond" w:hAnsi="Garamond"/>
              </w:rPr>
              <w:t xml:space="preserve"> ID) </w:t>
            </w:r>
          </w:p>
          <w:p w:rsidR="00F711CD" w:rsidRPr="007436BB" w:rsidRDefault="00F711CD" w:rsidP="00F711CD">
            <w:pPr>
              <w:spacing w:after="200" w:line="23" w:lineRule="atLeast"/>
              <w:jc w:val="both"/>
              <w:rPr>
                <w:rFonts w:ascii="Garamond" w:hAnsi="Garamond"/>
                <w:b/>
                <w:szCs w:val="24"/>
              </w:rPr>
            </w:pPr>
          </w:p>
        </w:tc>
      </w:tr>
      <w:tr w:rsidR="00F711CD" w:rsidRPr="007436BB" w:rsidTr="00F97FF7">
        <w:trPr>
          <w:trHeight w:val="671"/>
        </w:trPr>
        <w:tc>
          <w:tcPr>
            <w:tcW w:w="4644" w:type="dxa"/>
          </w:tcPr>
          <w:p w:rsidR="00F711CD" w:rsidRPr="007436BB" w:rsidRDefault="00F711CD" w:rsidP="00F711CD">
            <w:pPr>
              <w:spacing w:after="200" w:line="23" w:lineRule="atLeast"/>
              <w:jc w:val="both"/>
              <w:rPr>
                <w:rFonts w:ascii="Garamond" w:hAnsi="Garamond"/>
                <w:b/>
                <w:szCs w:val="24"/>
              </w:rPr>
            </w:pPr>
            <w:r w:rsidRPr="007436BB">
              <w:rPr>
                <w:rFonts w:ascii="Garamond" w:hAnsi="Garamond"/>
                <w:b/>
                <w:szCs w:val="24"/>
              </w:rPr>
              <w:t xml:space="preserve">Localisation : </w:t>
            </w:r>
          </w:p>
        </w:tc>
        <w:tc>
          <w:tcPr>
            <w:tcW w:w="4986" w:type="dxa"/>
          </w:tcPr>
          <w:p w:rsidR="00F711CD" w:rsidRPr="007436BB" w:rsidRDefault="00F711CD" w:rsidP="00F711CD">
            <w:pPr>
              <w:spacing w:after="200" w:line="23" w:lineRule="atLeast"/>
              <w:jc w:val="both"/>
              <w:rPr>
                <w:rFonts w:ascii="Garamond" w:hAnsi="Garamond"/>
              </w:rPr>
            </w:pPr>
            <w:r w:rsidRPr="007436BB">
              <w:rPr>
                <w:rFonts w:ascii="Garamond" w:hAnsi="Garamond"/>
              </w:rPr>
              <w:t xml:space="preserve">Activité 1- 4 ; au niveau national </w:t>
            </w:r>
          </w:p>
          <w:p w:rsidR="00F711CD" w:rsidRPr="007436BB" w:rsidRDefault="00F711CD" w:rsidP="00F711CD">
            <w:pPr>
              <w:spacing w:after="200" w:line="23" w:lineRule="atLeast"/>
              <w:jc w:val="both"/>
              <w:rPr>
                <w:rFonts w:ascii="Garamond" w:hAnsi="Garamond"/>
                <w:b/>
                <w:szCs w:val="24"/>
              </w:rPr>
            </w:pPr>
          </w:p>
        </w:tc>
      </w:tr>
      <w:tr w:rsidR="00F711CD" w:rsidRPr="007436BB" w:rsidTr="00F97FF7">
        <w:trPr>
          <w:trHeight w:val="671"/>
        </w:trPr>
        <w:tc>
          <w:tcPr>
            <w:tcW w:w="4644" w:type="dxa"/>
          </w:tcPr>
          <w:p w:rsidR="00F711CD" w:rsidRPr="007436BB" w:rsidRDefault="00F711CD" w:rsidP="00F711CD">
            <w:pPr>
              <w:spacing w:after="200" w:line="23" w:lineRule="atLeast"/>
              <w:jc w:val="both"/>
              <w:rPr>
                <w:rFonts w:ascii="Garamond" w:hAnsi="Garamond"/>
                <w:b/>
                <w:szCs w:val="24"/>
              </w:rPr>
            </w:pPr>
            <w:r w:rsidRPr="007436BB">
              <w:rPr>
                <w:rFonts w:ascii="Garamond" w:hAnsi="Garamond"/>
                <w:b/>
                <w:szCs w:val="24"/>
              </w:rPr>
              <w:t xml:space="preserve">Agences/Partenaires d’exécution : </w:t>
            </w:r>
          </w:p>
        </w:tc>
        <w:tc>
          <w:tcPr>
            <w:tcW w:w="4986" w:type="dxa"/>
          </w:tcPr>
          <w:p w:rsidR="00F711CD" w:rsidRPr="007436BB" w:rsidRDefault="00F711CD" w:rsidP="00F711CD">
            <w:pPr>
              <w:spacing w:after="200" w:line="23" w:lineRule="atLeast"/>
              <w:jc w:val="both"/>
              <w:rPr>
                <w:rFonts w:ascii="Garamond" w:hAnsi="Garamond"/>
                <w:b/>
                <w:szCs w:val="24"/>
              </w:rPr>
            </w:pPr>
            <w:r w:rsidRPr="007436BB">
              <w:rPr>
                <w:rFonts w:ascii="Garamond" w:hAnsi="Garamond"/>
                <w:b/>
                <w:szCs w:val="24"/>
              </w:rPr>
              <w:t>NIM</w:t>
            </w:r>
          </w:p>
        </w:tc>
      </w:tr>
      <w:tr w:rsidR="00F711CD" w:rsidRPr="007436BB" w:rsidTr="00F97FF7">
        <w:trPr>
          <w:trHeight w:val="671"/>
        </w:trPr>
        <w:tc>
          <w:tcPr>
            <w:tcW w:w="4644" w:type="dxa"/>
          </w:tcPr>
          <w:p w:rsidR="00F711CD" w:rsidRPr="007436BB" w:rsidRDefault="00F711CD" w:rsidP="00F711CD">
            <w:pPr>
              <w:spacing w:after="200" w:line="23" w:lineRule="atLeast"/>
              <w:jc w:val="both"/>
              <w:rPr>
                <w:rFonts w:ascii="Garamond" w:hAnsi="Garamond"/>
                <w:b/>
                <w:szCs w:val="24"/>
              </w:rPr>
            </w:pPr>
            <w:r w:rsidRPr="007436BB">
              <w:rPr>
                <w:rFonts w:ascii="Garamond" w:hAnsi="Garamond"/>
                <w:b/>
                <w:szCs w:val="24"/>
              </w:rPr>
              <w:t xml:space="preserve">Agence Responsable : </w:t>
            </w:r>
          </w:p>
        </w:tc>
        <w:tc>
          <w:tcPr>
            <w:tcW w:w="4986" w:type="dxa"/>
          </w:tcPr>
          <w:p w:rsidR="00F711CD" w:rsidRPr="007436BB" w:rsidRDefault="00F711CD" w:rsidP="00F711CD">
            <w:pPr>
              <w:spacing w:after="200" w:line="23" w:lineRule="atLeast"/>
              <w:jc w:val="both"/>
              <w:rPr>
                <w:rFonts w:ascii="Garamond" w:hAnsi="Garamond"/>
                <w:b/>
                <w:szCs w:val="24"/>
              </w:rPr>
            </w:pPr>
            <w:r w:rsidRPr="007436BB">
              <w:rPr>
                <w:rFonts w:ascii="Garamond" w:hAnsi="Garamond" w:cs="Calibri"/>
              </w:rPr>
              <w:t>Secrétariat Permanent du Conseil National Pour l’Environnement et le Développement Durable (SP/CONEDD)</w:t>
            </w:r>
          </w:p>
        </w:tc>
      </w:tr>
      <w:tr w:rsidR="00F711CD" w:rsidRPr="007436BB" w:rsidTr="00F97FF7">
        <w:trPr>
          <w:trHeight w:val="671"/>
        </w:trPr>
        <w:tc>
          <w:tcPr>
            <w:tcW w:w="4644" w:type="dxa"/>
          </w:tcPr>
          <w:p w:rsidR="00F711CD" w:rsidRPr="007436BB" w:rsidRDefault="00F711CD" w:rsidP="00F711CD">
            <w:pPr>
              <w:spacing w:after="200" w:line="23" w:lineRule="atLeast"/>
              <w:jc w:val="both"/>
              <w:rPr>
                <w:rFonts w:ascii="Garamond" w:hAnsi="Garamond"/>
                <w:b/>
                <w:szCs w:val="24"/>
              </w:rPr>
            </w:pPr>
            <w:r w:rsidRPr="007436BB">
              <w:rPr>
                <w:rFonts w:ascii="Garamond" w:hAnsi="Garamond"/>
                <w:b/>
                <w:szCs w:val="24"/>
              </w:rPr>
              <w:t xml:space="preserve">Ministère de Tutelle : </w:t>
            </w:r>
          </w:p>
        </w:tc>
        <w:tc>
          <w:tcPr>
            <w:tcW w:w="4986" w:type="dxa"/>
          </w:tcPr>
          <w:p w:rsidR="00F711CD" w:rsidRPr="007436BB" w:rsidRDefault="00F711CD" w:rsidP="00F711CD">
            <w:pPr>
              <w:spacing w:after="200" w:line="23" w:lineRule="atLeast"/>
              <w:jc w:val="both"/>
              <w:rPr>
                <w:rFonts w:ascii="Garamond" w:hAnsi="Garamond"/>
                <w:b/>
                <w:szCs w:val="24"/>
              </w:rPr>
            </w:pPr>
            <w:r w:rsidRPr="007436BB">
              <w:rPr>
                <w:rFonts w:ascii="Garamond" w:hAnsi="Garamond" w:cs="Calibri"/>
              </w:rPr>
              <w:t>Ministère de l’Environnement et du Développement Durable (MEDD)</w:t>
            </w:r>
          </w:p>
        </w:tc>
      </w:tr>
      <w:tr w:rsidR="00F711CD" w:rsidRPr="007436BB" w:rsidTr="00F97FF7">
        <w:trPr>
          <w:trHeight w:val="685"/>
        </w:trPr>
        <w:tc>
          <w:tcPr>
            <w:tcW w:w="4644" w:type="dxa"/>
          </w:tcPr>
          <w:p w:rsidR="00F711CD" w:rsidRPr="007436BB" w:rsidRDefault="00F711CD" w:rsidP="00F711CD">
            <w:pPr>
              <w:spacing w:after="200" w:line="23" w:lineRule="atLeast"/>
              <w:jc w:val="both"/>
              <w:rPr>
                <w:rFonts w:ascii="Garamond" w:hAnsi="Garamond" w:cs="Times New Roman"/>
                <w:b/>
                <w:szCs w:val="24"/>
              </w:rPr>
            </w:pPr>
            <w:r w:rsidRPr="007436BB">
              <w:rPr>
                <w:rFonts w:ascii="Garamond" w:hAnsi="Garamond"/>
                <w:b/>
                <w:szCs w:val="24"/>
              </w:rPr>
              <w:t>Ministères partenaires :</w:t>
            </w:r>
            <w:r w:rsidRPr="007436BB">
              <w:rPr>
                <w:rFonts w:ascii="Garamond" w:hAnsi="Garamond" w:cs="Times New Roman"/>
                <w:b/>
                <w:szCs w:val="24"/>
              </w:rPr>
              <w:t xml:space="preserve"> </w:t>
            </w:r>
          </w:p>
        </w:tc>
        <w:tc>
          <w:tcPr>
            <w:tcW w:w="4986" w:type="dxa"/>
          </w:tcPr>
          <w:p w:rsidR="00F711CD" w:rsidRPr="007436BB" w:rsidRDefault="00F711CD" w:rsidP="00584425">
            <w:pPr>
              <w:spacing w:after="200" w:line="23" w:lineRule="atLeast"/>
              <w:jc w:val="both"/>
              <w:rPr>
                <w:rFonts w:ascii="Garamond" w:hAnsi="Garamond"/>
                <w:b/>
                <w:szCs w:val="24"/>
              </w:rPr>
            </w:pPr>
            <w:r w:rsidRPr="007436BB">
              <w:rPr>
                <w:rFonts w:ascii="Garamond" w:hAnsi="Garamond" w:cs="Calibri"/>
              </w:rPr>
              <w:t xml:space="preserve">Ministère du secteur rural, Ministère de l’Aménagement du Territoire et de la Décentralisation, Ministère de l’Administration Territoriale et de la Sécurité, Université Ouagadougou, La </w:t>
            </w:r>
            <w:r w:rsidR="00584425" w:rsidRPr="007436BB">
              <w:rPr>
                <w:rFonts w:ascii="Garamond" w:hAnsi="Garamond" w:cs="Calibri"/>
              </w:rPr>
              <w:t>D</w:t>
            </w:r>
            <w:r w:rsidRPr="007436BB">
              <w:rPr>
                <w:rFonts w:ascii="Garamond" w:hAnsi="Garamond" w:cs="Calibri"/>
              </w:rPr>
              <w:t xml:space="preserve">irection de la </w:t>
            </w:r>
            <w:r w:rsidR="00584425" w:rsidRPr="007436BB">
              <w:rPr>
                <w:rFonts w:ascii="Garamond" w:hAnsi="Garamond" w:cs="Calibri"/>
              </w:rPr>
              <w:t>M</w:t>
            </w:r>
            <w:r w:rsidRPr="007436BB">
              <w:rPr>
                <w:rFonts w:ascii="Garamond" w:hAnsi="Garamond" w:cs="Calibri"/>
              </w:rPr>
              <w:t xml:space="preserve">étéorologie   </w:t>
            </w:r>
          </w:p>
        </w:tc>
      </w:tr>
      <w:tr w:rsidR="00F711CD" w:rsidRPr="007436BB" w:rsidTr="00F97FF7">
        <w:trPr>
          <w:trHeight w:val="671"/>
        </w:trPr>
        <w:tc>
          <w:tcPr>
            <w:tcW w:w="4644" w:type="dxa"/>
          </w:tcPr>
          <w:p w:rsidR="00F711CD" w:rsidRPr="007436BB" w:rsidRDefault="00F711CD" w:rsidP="00F711CD">
            <w:pPr>
              <w:spacing w:after="200" w:line="23" w:lineRule="atLeast"/>
              <w:jc w:val="both"/>
              <w:rPr>
                <w:rFonts w:ascii="Garamond" w:hAnsi="Garamond"/>
                <w:b/>
                <w:szCs w:val="24"/>
              </w:rPr>
            </w:pPr>
            <w:r w:rsidRPr="007436BB">
              <w:rPr>
                <w:rFonts w:ascii="Garamond" w:hAnsi="Garamond"/>
                <w:b/>
                <w:szCs w:val="24"/>
              </w:rPr>
              <w:t xml:space="preserve">Date de lancement/Démarrage: </w:t>
            </w:r>
          </w:p>
        </w:tc>
        <w:tc>
          <w:tcPr>
            <w:tcW w:w="4986" w:type="dxa"/>
          </w:tcPr>
          <w:p w:rsidR="00F711CD" w:rsidRPr="007436BB" w:rsidRDefault="00F711CD" w:rsidP="00F711CD">
            <w:pPr>
              <w:spacing w:after="200" w:line="23" w:lineRule="atLeast"/>
              <w:jc w:val="both"/>
              <w:rPr>
                <w:rFonts w:ascii="Garamond" w:hAnsi="Garamond"/>
                <w:b/>
                <w:szCs w:val="24"/>
              </w:rPr>
            </w:pPr>
            <w:r w:rsidRPr="007436BB">
              <w:rPr>
                <w:rFonts w:ascii="Garamond" w:hAnsi="Garamond" w:cs="Calibri"/>
              </w:rPr>
              <w:t xml:space="preserve">14 Août 2013 (signature de </w:t>
            </w:r>
            <w:proofErr w:type="spellStart"/>
            <w:r w:rsidRPr="007436BB">
              <w:rPr>
                <w:rFonts w:ascii="Garamond" w:hAnsi="Garamond" w:cs="Calibri"/>
              </w:rPr>
              <w:t>LoA</w:t>
            </w:r>
            <w:proofErr w:type="spellEnd"/>
            <w:r w:rsidRPr="007436BB">
              <w:rPr>
                <w:rFonts w:ascii="Garamond" w:hAnsi="Garamond" w:cs="Calibri"/>
              </w:rPr>
              <w:t xml:space="preserve"> avec le SP/CONEDD)</w:t>
            </w:r>
          </w:p>
        </w:tc>
      </w:tr>
      <w:tr w:rsidR="00736742" w:rsidRPr="007436BB" w:rsidTr="00F97FF7">
        <w:trPr>
          <w:trHeight w:val="671"/>
        </w:trPr>
        <w:tc>
          <w:tcPr>
            <w:tcW w:w="4644" w:type="dxa"/>
          </w:tcPr>
          <w:p w:rsidR="00736742" w:rsidRPr="007436BB" w:rsidRDefault="00736742" w:rsidP="00736742">
            <w:pPr>
              <w:spacing w:after="200" w:line="23" w:lineRule="atLeast"/>
              <w:jc w:val="both"/>
              <w:rPr>
                <w:rFonts w:ascii="Garamond" w:hAnsi="Garamond"/>
                <w:b/>
                <w:szCs w:val="24"/>
              </w:rPr>
            </w:pPr>
            <w:r w:rsidRPr="007436BB">
              <w:rPr>
                <w:rFonts w:ascii="Garamond" w:hAnsi="Garamond"/>
                <w:b/>
                <w:szCs w:val="24"/>
              </w:rPr>
              <w:t xml:space="preserve">Durée : </w:t>
            </w:r>
          </w:p>
        </w:tc>
        <w:tc>
          <w:tcPr>
            <w:tcW w:w="4986" w:type="dxa"/>
          </w:tcPr>
          <w:p w:rsidR="00736742" w:rsidRPr="007436BB" w:rsidRDefault="00736742" w:rsidP="00736742">
            <w:pPr>
              <w:spacing w:after="200" w:line="23" w:lineRule="atLeast"/>
              <w:jc w:val="both"/>
              <w:rPr>
                <w:rFonts w:ascii="Garamond" w:hAnsi="Garamond"/>
                <w:b/>
                <w:szCs w:val="24"/>
              </w:rPr>
            </w:pPr>
            <w:r w:rsidRPr="007436BB">
              <w:rPr>
                <w:rFonts w:ascii="Garamond" w:hAnsi="Garamond" w:cs="Calibri"/>
              </w:rPr>
              <w:t>Jusqu’au 30 juin 2015</w:t>
            </w:r>
          </w:p>
        </w:tc>
      </w:tr>
      <w:tr w:rsidR="00736742" w:rsidRPr="007436BB" w:rsidTr="00F97FF7">
        <w:trPr>
          <w:trHeight w:val="86"/>
        </w:trPr>
        <w:tc>
          <w:tcPr>
            <w:tcW w:w="4644" w:type="dxa"/>
          </w:tcPr>
          <w:p w:rsidR="00736742" w:rsidRPr="007436BB" w:rsidRDefault="00736742" w:rsidP="00736742">
            <w:pPr>
              <w:spacing w:after="200" w:line="23" w:lineRule="atLeast"/>
              <w:jc w:val="both"/>
              <w:rPr>
                <w:rFonts w:ascii="Garamond" w:hAnsi="Garamond"/>
                <w:b/>
                <w:szCs w:val="24"/>
              </w:rPr>
            </w:pPr>
            <w:r w:rsidRPr="007436BB">
              <w:rPr>
                <w:rFonts w:ascii="Garamond" w:hAnsi="Garamond"/>
                <w:b/>
                <w:szCs w:val="24"/>
              </w:rPr>
              <w:t xml:space="preserve">Budget du projet : </w:t>
            </w:r>
          </w:p>
        </w:tc>
        <w:tc>
          <w:tcPr>
            <w:tcW w:w="4986" w:type="dxa"/>
          </w:tcPr>
          <w:p w:rsidR="00736742" w:rsidRPr="007436BB" w:rsidRDefault="00736742" w:rsidP="00736742">
            <w:pPr>
              <w:spacing w:after="200" w:line="23" w:lineRule="atLeast"/>
              <w:jc w:val="both"/>
              <w:rPr>
                <w:rFonts w:ascii="Garamond" w:hAnsi="Garamond"/>
                <w:b/>
                <w:szCs w:val="24"/>
              </w:rPr>
            </w:pPr>
            <w:r w:rsidRPr="007436BB">
              <w:rPr>
                <w:rFonts w:ascii="Garamond" w:hAnsi="Garamond"/>
                <w:b/>
                <w:szCs w:val="24"/>
              </w:rPr>
              <w:t>661 000</w:t>
            </w:r>
          </w:p>
        </w:tc>
      </w:tr>
      <w:tr w:rsidR="00736742" w:rsidRPr="007436BB" w:rsidTr="00F97FF7">
        <w:trPr>
          <w:trHeight w:val="86"/>
        </w:trPr>
        <w:tc>
          <w:tcPr>
            <w:tcW w:w="4644" w:type="dxa"/>
          </w:tcPr>
          <w:p w:rsidR="00736742" w:rsidRPr="007436BB" w:rsidRDefault="00736742" w:rsidP="00736742">
            <w:pPr>
              <w:spacing w:after="200" w:line="23" w:lineRule="atLeast"/>
              <w:jc w:val="both"/>
              <w:rPr>
                <w:rFonts w:ascii="Garamond" w:hAnsi="Garamond"/>
                <w:b/>
                <w:szCs w:val="24"/>
              </w:rPr>
            </w:pPr>
            <w:r w:rsidRPr="007436BB">
              <w:rPr>
                <w:rFonts w:ascii="Garamond" w:hAnsi="Garamond"/>
                <w:b/>
                <w:szCs w:val="24"/>
              </w:rPr>
              <w:t xml:space="preserve">Source de financement : </w:t>
            </w:r>
          </w:p>
        </w:tc>
        <w:tc>
          <w:tcPr>
            <w:tcW w:w="4986" w:type="dxa"/>
          </w:tcPr>
          <w:p w:rsidR="00736742" w:rsidRPr="007436BB" w:rsidRDefault="00736742" w:rsidP="00736742">
            <w:pPr>
              <w:spacing w:after="200" w:line="23" w:lineRule="atLeast"/>
              <w:jc w:val="both"/>
              <w:rPr>
                <w:rFonts w:ascii="Garamond" w:hAnsi="Garamond"/>
                <w:b/>
                <w:szCs w:val="24"/>
              </w:rPr>
            </w:pPr>
            <w:r w:rsidRPr="007436BB">
              <w:rPr>
                <w:rFonts w:ascii="Garamond" w:hAnsi="Garamond"/>
                <w:b/>
                <w:szCs w:val="24"/>
              </w:rPr>
              <w:t xml:space="preserve">TICAD V </w:t>
            </w:r>
          </w:p>
          <w:p w:rsidR="00736742" w:rsidRPr="007436BB" w:rsidRDefault="00736742" w:rsidP="00736742">
            <w:pPr>
              <w:spacing w:after="200" w:line="23" w:lineRule="atLeast"/>
              <w:jc w:val="both"/>
              <w:rPr>
                <w:rFonts w:ascii="Garamond" w:hAnsi="Garamond"/>
                <w:b/>
                <w:szCs w:val="24"/>
              </w:rPr>
            </w:pPr>
            <w:r w:rsidRPr="007436BB">
              <w:rPr>
                <w:rFonts w:ascii="Garamond" w:hAnsi="Garamond"/>
                <w:b/>
                <w:szCs w:val="24"/>
              </w:rPr>
              <w:t>JAPON</w:t>
            </w:r>
          </w:p>
        </w:tc>
      </w:tr>
    </w:tbl>
    <w:p w:rsidR="00F711CD" w:rsidRPr="007436BB" w:rsidRDefault="00F711CD" w:rsidP="00F711CD">
      <w:pPr>
        <w:keepNext/>
        <w:keepLines/>
        <w:spacing w:after="0" w:line="23" w:lineRule="atLeast"/>
        <w:outlineLvl w:val="0"/>
        <w:rPr>
          <w:rFonts w:ascii="Garamond" w:eastAsiaTheme="majorEastAsia" w:hAnsi="Garamond" w:cstheme="majorBidi"/>
          <w:b/>
          <w:bCs/>
          <w:color w:val="365F91" w:themeColor="accent1" w:themeShade="BF"/>
          <w:sz w:val="28"/>
          <w:szCs w:val="28"/>
          <w:lang w:eastAsia="fr-FR"/>
        </w:rPr>
      </w:pPr>
    </w:p>
    <w:p w:rsidR="00F711CD" w:rsidRPr="007436BB" w:rsidRDefault="00F711CD" w:rsidP="00F711CD">
      <w:pPr>
        <w:spacing w:after="0" w:line="23" w:lineRule="atLeast"/>
        <w:rPr>
          <w:rFonts w:ascii="Garamond" w:eastAsiaTheme="majorEastAsia" w:hAnsi="Garamond" w:cstheme="majorBidi"/>
          <w:color w:val="365F91" w:themeColor="accent1" w:themeShade="BF"/>
          <w:sz w:val="28"/>
          <w:szCs w:val="28"/>
          <w:lang w:eastAsia="fr-FR"/>
        </w:rPr>
      </w:pPr>
      <w:r w:rsidRPr="007436BB">
        <w:rPr>
          <w:rFonts w:ascii="Garamond" w:hAnsi="Garamond"/>
          <w:sz w:val="22"/>
          <w:lang w:eastAsia="fr-FR"/>
        </w:rPr>
        <w:br w:type="page"/>
      </w:r>
    </w:p>
    <w:p w:rsidR="00F711CD" w:rsidRPr="007436BB" w:rsidRDefault="00F711CD" w:rsidP="00F97FF7">
      <w:pPr>
        <w:keepNext/>
        <w:keepLines/>
        <w:spacing w:after="0"/>
        <w:outlineLvl w:val="0"/>
        <w:rPr>
          <w:rFonts w:ascii="Garamond" w:eastAsiaTheme="majorEastAsia" w:hAnsi="Garamond" w:cs="Times New Roman"/>
          <w:b/>
          <w:bCs/>
          <w:color w:val="365F91" w:themeColor="accent1" w:themeShade="BF"/>
          <w:szCs w:val="24"/>
          <w:lang w:eastAsia="fr-FR"/>
        </w:rPr>
      </w:pPr>
      <w:bookmarkStart w:id="0" w:name="_Toc408615909"/>
      <w:r w:rsidRPr="007436BB">
        <w:rPr>
          <w:rFonts w:ascii="Garamond" w:eastAsiaTheme="majorEastAsia" w:hAnsi="Garamond" w:cs="Times New Roman"/>
          <w:b/>
          <w:bCs/>
          <w:color w:val="365F91" w:themeColor="accent1" w:themeShade="BF"/>
          <w:szCs w:val="24"/>
          <w:lang w:eastAsia="fr-FR"/>
        </w:rPr>
        <w:lastRenderedPageBreak/>
        <w:t>Introduction</w:t>
      </w:r>
      <w:bookmarkEnd w:id="0"/>
    </w:p>
    <w:p w:rsidR="00F711CD" w:rsidRPr="007436BB" w:rsidRDefault="00F711CD" w:rsidP="00F97FF7">
      <w:pPr>
        <w:spacing w:after="0"/>
        <w:jc w:val="both"/>
        <w:rPr>
          <w:rFonts w:ascii="Garamond" w:hAnsi="Garamond" w:cs="Times New Roman"/>
          <w:szCs w:val="24"/>
          <w:lang w:eastAsia="fr-FR"/>
        </w:rPr>
      </w:pPr>
    </w:p>
    <w:p w:rsidR="00F711CD" w:rsidRPr="007436BB" w:rsidRDefault="00584425" w:rsidP="00F97FF7">
      <w:pPr>
        <w:spacing w:after="0"/>
        <w:jc w:val="both"/>
        <w:rPr>
          <w:rFonts w:ascii="Garamond" w:hAnsi="Garamond" w:cs="Times New Roman"/>
          <w:szCs w:val="24"/>
          <w:lang w:eastAsia="fr-FR"/>
        </w:rPr>
      </w:pPr>
      <w:r w:rsidRPr="007436BB">
        <w:rPr>
          <w:rFonts w:ascii="Garamond" w:hAnsi="Garamond" w:cs="Times New Roman"/>
          <w:szCs w:val="24"/>
          <w:lang w:eastAsia="fr-FR"/>
        </w:rPr>
        <w:t xml:space="preserve">La période </w:t>
      </w:r>
      <w:r w:rsidR="00CB7B25" w:rsidRPr="007436BB">
        <w:rPr>
          <w:rFonts w:ascii="Garamond" w:hAnsi="Garamond" w:cs="Times New Roman"/>
          <w:szCs w:val="24"/>
          <w:lang w:eastAsia="fr-FR"/>
        </w:rPr>
        <w:t xml:space="preserve">allant </w:t>
      </w:r>
      <w:r w:rsidRPr="007436BB">
        <w:rPr>
          <w:rFonts w:ascii="Garamond" w:hAnsi="Garamond" w:cs="Times New Roman"/>
          <w:szCs w:val="24"/>
          <w:lang w:eastAsia="fr-FR"/>
        </w:rPr>
        <w:t>du 1</w:t>
      </w:r>
      <w:r w:rsidRPr="007436BB">
        <w:rPr>
          <w:rFonts w:ascii="Garamond" w:hAnsi="Garamond" w:cs="Times New Roman"/>
          <w:szCs w:val="24"/>
          <w:vertAlign w:val="superscript"/>
          <w:lang w:eastAsia="fr-FR"/>
        </w:rPr>
        <w:t>er</w:t>
      </w:r>
      <w:r w:rsidRPr="007436BB">
        <w:rPr>
          <w:rFonts w:ascii="Garamond" w:hAnsi="Garamond" w:cs="Times New Roman"/>
          <w:szCs w:val="24"/>
          <w:lang w:eastAsia="fr-FR"/>
        </w:rPr>
        <w:t xml:space="preserve"> juillet au 31 décembre 2014, </w:t>
      </w:r>
      <w:r w:rsidR="00F711CD" w:rsidRPr="007436BB">
        <w:rPr>
          <w:rFonts w:ascii="Garamond" w:hAnsi="Garamond" w:cs="Times New Roman"/>
          <w:szCs w:val="24"/>
          <w:lang w:eastAsia="fr-FR"/>
        </w:rPr>
        <w:t xml:space="preserve">a </w:t>
      </w:r>
      <w:r w:rsidRPr="007436BB">
        <w:rPr>
          <w:rFonts w:ascii="Garamond" w:hAnsi="Garamond" w:cs="Times New Roman"/>
          <w:szCs w:val="24"/>
          <w:lang w:eastAsia="fr-FR"/>
        </w:rPr>
        <w:t xml:space="preserve">essentiellement </w:t>
      </w:r>
      <w:r w:rsidR="00F711CD" w:rsidRPr="007436BB">
        <w:rPr>
          <w:rFonts w:ascii="Garamond" w:hAnsi="Garamond" w:cs="Times New Roman"/>
          <w:szCs w:val="24"/>
          <w:lang w:eastAsia="fr-FR"/>
        </w:rPr>
        <w:t>été marqué</w:t>
      </w:r>
      <w:r w:rsidR="009D17E1" w:rsidRPr="007436BB">
        <w:rPr>
          <w:rFonts w:ascii="Garamond" w:hAnsi="Garamond" w:cs="Times New Roman"/>
          <w:szCs w:val="24"/>
          <w:lang w:eastAsia="fr-FR"/>
        </w:rPr>
        <w:t>e</w:t>
      </w:r>
      <w:r w:rsidR="00F711CD" w:rsidRPr="007436BB">
        <w:rPr>
          <w:rFonts w:ascii="Garamond" w:hAnsi="Garamond" w:cs="Times New Roman"/>
          <w:szCs w:val="24"/>
          <w:lang w:eastAsia="fr-FR"/>
        </w:rPr>
        <w:t xml:space="preserve"> par la matérialisation des accords de partenariat avec les différents partenaires de mise en œuvre du projet ainsi que le suivi de l</w:t>
      </w:r>
      <w:r w:rsidR="006219EF" w:rsidRPr="007436BB">
        <w:rPr>
          <w:rFonts w:ascii="Garamond" w:hAnsi="Garamond" w:cs="Times New Roman"/>
          <w:szCs w:val="24"/>
          <w:lang w:eastAsia="fr-FR"/>
        </w:rPr>
        <w:t xml:space="preserve">’exécution </w:t>
      </w:r>
      <w:r w:rsidRPr="007436BB">
        <w:rPr>
          <w:rFonts w:ascii="Garamond" w:hAnsi="Garamond" w:cs="Times New Roman"/>
          <w:szCs w:val="24"/>
          <w:lang w:eastAsia="fr-FR"/>
        </w:rPr>
        <w:t xml:space="preserve">des activités. </w:t>
      </w:r>
      <w:r w:rsidR="006219EF" w:rsidRPr="007436BB">
        <w:rPr>
          <w:rFonts w:ascii="Garamond" w:hAnsi="Garamond" w:cs="Times New Roman"/>
          <w:szCs w:val="24"/>
          <w:lang w:eastAsia="fr-FR"/>
        </w:rPr>
        <w:t xml:space="preserve">Le présent rapport fait l’état du progrès dans le processus d’atteinte des résultats. Il </w:t>
      </w:r>
      <w:r w:rsidRPr="007436BB">
        <w:rPr>
          <w:rFonts w:ascii="Garamond" w:hAnsi="Garamond" w:cs="Times New Roman"/>
          <w:szCs w:val="24"/>
          <w:lang w:eastAsia="fr-FR"/>
        </w:rPr>
        <w:t xml:space="preserve">comprend deux principaux points à savoir le bilan technique et le </w:t>
      </w:r>
      <w:r w:rsidR="006219EF" w:rsidRPr="007436BB">
        <w:rPr>
          <w:rFonts w:ascii="Garamond" w:hAnsi="Garamond" w:cs="Times New Roman"/>
          <w:szCs w:val="24"/>
          <w:lang w:eastAsia="fr-FR"/>
        </w:rPr>
        <w:t xml:space="preserve">bilan financier. </w:t>
      </w:r>
    </w:p>
    <w:p w:rsidR="00584425" w:rsidRPr="007436BB" w:rsidRDefault="00584425" w:rsidP="00F97FF7">
      <w:pPr>
        <w:spacing w:after="0"/>
        <w:jc w:val="both"/>
        <w:rPr>
          <w:rFonts w:ascii="Garamond" w:hAnsi="Garamond" w:cs="Times New Roman"/>
          <w:szCs w:val="24"/>
          <w:lang w:eastAsia="fr-FR"/>
        </w:rPr>
      </w:pPr>
    </w:p>
    <w:p w:rsidR="00F711CD" w:rsidRPr="007436BB" w:rsidRDefault="00F711CD" w:rsidP="00F97FF7">
      <w:pPr>
        <w:keepNext/>
        <w:keepLines/>
        <w:numPr>
          <w:ilvl w:val="0"/>
          <w:numId w:val="4"/>
        </w:numPr>
        <w:spacing w:after="0"/>
        <w:outlineLvl w:val="0"/>
        <w:rPr>
          <w:rFonts w:ascii="Garamond" w:eastAsiaTheme="majorEastAsia" w:hAnsi="Garamond" w:cs="Times New Roman"/>
          <w:b/>
          <w:bCs/>
          <w:color w:val="365F91" w:themeColor="accent1" w:themeShade="BF"/>
          <w:szCs w:val="24"/>
          <w:lang w:eastAsia="fr-FR"/>
        </w:rPr>
      </w:pPr>
      <w:bookmarkStart w:id="1" w:name="_Toc408615910"/>
      <w:r w:rsidRPr="007436BB">
        <w:rPr>
          <w:rFonts w:ascii="Garamond" w:eastAsiaTheme="majorEastAsia" w:hAnsi="Garamond" w:cs="Times New Roman"/>
          <w:b/>
          <w:bCs/>
          <w:color w:val="365F91" w:themeColor="accent1" w:themeShade="BF"/>
          <w:szCs w:val="24"/>
          <w:lang w:eastAsia="fr-FR"/>
        </w:rPr>
        <w:t>Bilan technique des activités</w:t>
      </w:r>
      <w:bookmarkEnd w:id="1"/>
    </w:p>
    <w:p w:rsidR="00F711CD" w:rsidRPr="007436BB" w:rsidRDefault="00F711CD" w:rsidP="00F97FF7">
      <w:pPr>
        <w:rPr>
          <w:rFonts w:ascii="Garamond" w:hAnsi="Garamond" w:cs="Times New Roman"/>
          <w:szCs w:val="24"/>
          <w:lang w:eastAsia="fr-FR"/>
        </w:rPr>
      </w:pPr>
    </w:p>
    <w:p w:rsidR="001546C5" w:rsidRPr="007436BB" w:rsidRDefault="001546C5" w:rsidP="00F97FF7">
      <w:pPr>
        <w:spacing w:after="0"/>
        <w:jc w:val="both"/>
        <w:rPr>
          <w:rFonts w:ascii="Garamond" w:hAnsi="Garamond" w:cs="Times New Roman"/>
          <w:bCs/>
          <w:color w:val="000000"/>
          <w:szCs w:val="24"/>
          <w:lang w:eastAsia="fr-FR"/>
        </w:rPr>
      </w:pPr>
      <w:r w:rsidRPr="007436BB">
        <w:rPr>
          <w:rFonts w:ascii="Garamond" w:hAnsi="Garamond" w:cs="Times New Roman"/>
          <w:bCs/>
          <w:color w:val="000000"/>
          <w:szCs w:val="24"/>
          <w:lang w:eastAsia="fr-FR"/>
        </w:rPr>
        <w:t>En rappel, le projet est constitué de quatre composantes qui sont :</w:t>
      </w:r>
    </w:p>
    <w:p w:rsidR="001546C5" w:rsidRPr="007436BB" w:rsidRDefault="001546C5" w:rsidP="00F97FF7">
      <w:pPr>
        <w:pStyle w:val="a8"/>
        <w:numPr>
          <w:ilvl w:val="0"/>
          <w:numId w:val="6"/>
        </w:numPr>
        <w:spacing w:after="0"/>
        <w:jc w:val="both"/>
        <w:rPr>
          <w:rFonts w:ascii="Garamond" w:hAnsi="Garamond" w:cs="Times New Roman"/>
          <w:bCs/>
          <w:color w:val="000000"/>
          <w:szCs w:val="24"/>
          <w:lang w:eastAsia="fr-FR"/>
        </w:rPr>
      </w:pPr>
      <w:r w:rsidRPr="007436BB">
        <w:rPr>
          <w:rFonts w:ascii="Garamond" w:hAnsi="Garamond" w:cs="Times New Roman"/>
          <w:bCs/>
          <w:color w:val="000000"/>
          <w:szCs w:val="24"/>
          <w:lang w:eastAsia="fr-FR"/>
        </w:rPr>
        <w:t xml:space="preserve">Composante 1: Le système de partage et de l’utilisation des données climatiques sont renforcés dans le processus de la prise de décision ainsi que la planification   </w:t>
      </w:r>
    </w:p>
    <w:p w:rsidR="001546C5" w:rsidRPr="007436BB" w:rsidRDefault="001546C5" w:rsidP="00F97FF7">
      <w:pPr>
        <w:pStyle w:val="a8"/>
        <w:numPr>
          <w:ilvl w:val="0"/>
          <w:numId w:val="6"/>
        </w:numPr>
        <w:spacing w:after="0"/>
        <w:jc w:val="both"/>
        <w:rPr>
          <w:rFonts w:ascii="Garamond" w:hAnsi="Garamond" w:cs="Times New Roman"/>
          <w:bCs/>
          <w:color w:val="000000"/>
          <w:szCs w:val="24"/>
          <w:lang w:eastAsia="fr-FR"/>
        </w:rPr>
      </w:pPr>
      <w:r w:rsidRPr="007436BB">
        <w:rPr>
          <w:rFonts w:ascii="Garamond" w:hAnsi="Garamond" w:cs="Times New Roman"/>
          <w:bCs/>
          <w:color w:val="000000"/>
          <w:szCs w:val="24"/>
          <w:lang w:eastAsia="fr-FR"/>
        </w:rPr>
        <w:t>Composante 2 : Les différents indices climatiques sont identifiés et testés afin de gérer/atténuer les risques liés aux changements climatiques en vue d’améliorer la sécurité alimentaire</w:t>
      </w:r>
    </w:p>
    <w:p w:rsidR="001546C5" w:rsidRPr="007436BB" w:rsidRDefault="001546C5" w:rsidP="00F97FF7">
      <w:pPr>
        <w:pStyle w:val="a8"/>
        <w:numPr>
          <w:ilvl w:val="0"/>
          <w:numId w:val="6"/>
        </w:numPr>
        <w:spacing w:after="0"/>
        <w:jc w:val="both"/>
        <w:rPr>
          <w:rFonts w:ascii="Garamond" w:hAnsi="Garamond" w:cs="Times New Roman"/>
          <w:bCs/>
          <w:color w:val="000000"/>
          <w:szCs w:val="24"/>
          <w:lang w:eastAsia="fr-FR"/>
        </w:rPr>
      </w:pPr>
      <w:r w:rsidRPr="007436BB">
        <w:rPr>
          <w:rFonts w:ascii="Garamond" w:hAnsi="Garamond" w:cs="Times New Roman"/>
          <w:bCs/>
          <w:color w:val="000000"/>
          <w:szCs w:val="24"/>
          <w:lang w:eastAsia="fr-FR"/>
        </w:rPr>
        <w:t>Composante 3 : Accès aux financements en matière d’adaptation aux changements climatiques</w:t>
      </w:r>
    </w:p>
    <w:p w:rsidR="001546C5" w:rsidRPr="007436BB" w:rsidRDefault="001546C5" w:rsidP="00F97FF7">
      <w:pPr>
        <w:pStyle w:val="a8"/>
        <w:numPr>
          <w:ilvl w:val="0"/>
          <w:numId w:val="6"/>
        </w:numPr>
        <w:spacing w:after="0"/>
        <w:jc w:val="both"/>
        <w:rPr>
          <w:rFonts w:ascii="Garamond" w:hAnsi="Garamond" w:cs="Times New Roman"/>
          <w:bCs/>
          <w:color w:val="000000"/>
          <w:szCs w:val="24"/>
          <w:lang w:eastAsia="fr-FR"/>
        </w:rPr>
      </w:pPr>
      <w:r w:rsidRPr="007436BB">
        <w:rPr>
          <w:rFonts w:ascii="Garamond" w:hAnsi="Garamond" w:cs="Times New Roman"/>
          <w:bCs/>
          <w:color w:val="000000"/>
          <w:szCs w:val="24"/>
          <w:lang w:eastAsia="fr-FR"/>
        </w:rPr>
        <w:t xml:space="preserve">Composante 4: Management du programme. </w:t>
      </w:r>
    </w:p>
    <w:p w:rsidR="001546C5" w:rsidRPr="007436BB" w:rsidRDefault="001546C5" w:rsidP="00F97FF7">
      <w:pPr>
        <w:spacing w:after="0"/>
        <w:jc w:val="both"/>
        <w:rPr>
          <w:rFonts w:ascii="Garamond" w:eastAsia="Calibri" w:hAnsi="Garamond" w:cs="Times New Roman"/>
          <w:noProof/>
          <w:szCs w:val="24"/>
          <w:lang w:eastAsia="fr-FR"/>
        </w:rPr>
      </w:pPr>
    </w:p>
    <w:p w:rsidR="001546C5" w:rsidRPr="007436BB" w:rsidRDefault="001546C5" w:rsidP="00F97FF7">
      <w:pPr>
        <w:keepNext/>
        <w:keepLines/>
        <w:numPr>
          <w:ilvl w:val="1"/>
          <w:numId w:val="4"/>
        </w:numPr>
        <w:spacing w:after="0"/>
        <w:outlineLvl w:val="0"/>
        <w:rPr>
          <w:rFonts w:ascii="Garamond" w:eastAsiaTheme="majorEastAsia" w:hAnsi="Garamond" w:cs="Times New Roman"/>
          <w:b/>
          <w:bCs/>
          <w:color w:val="365F91" w:themeColor="accent1" w:themeShade="BF"/>
          <w:szCs w:val="24"/>
          <w:lang w:eastAsia="fr-FR"/>
        </w:rPr>
      </w:pPr>
      <w:bookmarkStart w:id="2" w:name="_Toc408615911"/>
      <w:r w:rsidRPr="007436BB">
        <w:rPr>
          <w:rFonts w:ascii="Garamond" w:eastAsiaTheme="majorEastAsia" w:hAnsi="Garamond" w:cs="Times New Roman"/>
          <w:b/>
          <w:bCs/>
          <w:color w:val="365F91" w:themeColor="accent1" w:themeShade="BF"/>
          <w:szCs w:val="24"/>
          <w:lang w:eastAsia="fr-FR"/>
        </w:rPr>
        <w:t>L’état de mise en œuvre par composante est le suivant :</w:t>
      </w:r>
      <w:bookmarkEnd w:id="2"/>
      <w:r w:rsidRPr="007436BB">
        <w:rPr>
          <w:rFonts w:ascii="Garamond" w:eastAsiaTheme="majorEastAsia" w:hAnsi="Garamond" w:cs="Times New Roman"/>
          <w:b/>
          <w:bCs/>
          <w:color w:val="365F91" w:themeColor="accent1" w:themeShade="BF"/>
          <w:szCs w:val="24"/>
          <w:lang w:eastAsia="fr-FR"/>
        </w:rPr>
        <w:t xml:space="preserve"> </w:t>
      </w:r>
    </w:p>
    <w:p w:rsidR="001546C5" w:rsidRPr="007436BB" w:rsidRDefault="001546C5" w:rsidP="00F97FF7">
      <w:pPr>
        <w:spacing w:after="0"/>
        <w:jc w:val="both"/>
        <w:rPr>
          <w:rFonts w:ascii="Garamond" w:eastAsia="Calibri" w:hAnsi="Garamond" w:cs="Times New Roman"/>
          <w:noProof/>
          <w:szCs w:val="24"/>
          <w:lang w:eastAsia="fr-FR"/>
        </w:rPr>
      </w:pPr>
    </w:p>
    <w:p w:rsidR="009D6FDD" w:rsidRPr="007436BB" w:rsidRDefault="009D6FDD" w:rsidP="00F97FF7">
      <w:pPr>
        <w:spacing w:after="0"/>
        <w:jc w:val="both"/>
        <w:rPr>
          <w:rFonts w:ascii="Garamond" w:hAnsi="Garamond" w:cs="Times New Roman"/>
          <w:bCs/>
          <w:color w:val="000000"/>
          <w:szCs w:val="24"/>
          <w:lang w:eastAsia="fr-FR"/>
        </w:rPr>
      </w:pPr>
      <w:r w:rsidRPr="007436BB">
        <w:rPr>
          <w:rFonts w:ascii="Garamond" w:hAnsi="Garamond" w:cs="Times New Roman"/>
          <w:bCs/>
          <w:color w:val="000000"/>
          <w:szCs w:val="24"/>
          <w:lang w:eastAsia="fr-FR"/>
        </w:rPr>
        <w:t xml:space="preserve">L’état de mise en œuvre par composante est le suivant : </w:t>
      </w:r>
    </w:p>
    <w:p w:rsidR="009D6FDD" w:rsidRPr="007436BB" w:rsidRDefault="009D6FDD" w:rsidP="001546C5">
      <w:pPr>
        <w:spacing w:after="0"/>
        <w:jc w:val="both"/>
        <w:rPr>
          <w:rFonts w:ascii="Garamond" w:eastAsia="Calibri" w:hAnsi="Garamond" w:cs="Times New Roman"/>
          <w:noProof/>
          <w:szCs w:val="24"/>
          <w:lang w:eastAsia="fr-FR"/>
        </w:rPr>
      </w:pPr>
    </w:p>
    <w:tbl>
      <w:tblPr>
        <w:tblStyle w:val="3"/>
        <w:tblW w:w="10349" w:type="dxa"/>
        <w:tblInd w:w="-176" w:type="dxa"/>
        <w:tblLook w:val="04A0" w:firstRow="1" w:lastRow="0" w:firstColumn="1" w:lastColumn="0" w:noHBand="0" w:noVBand="1"/>
      </w:tblPr>
      <w:tblGrid>
        <w:gridCol w:w="1985"/>
        <w:gridCol w:w="8364"/>
      </w:tblGrid>
      <w:tr w:rsidR="001546C5" w:rsidRPr="007436BB" w:rsidTr="00F97F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1546C5" w:rsidRPr="007436BB" w:rsidRDefault="001546C5" w:rsidP="00EC4554">
            <w:pPr>
              <w:spacing w:line="27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436BB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Activités</w:t>
            </w:r>
          </w:p>
        </w:tc>
        <w:tc>
          <w:tcPr>
            <w:tcW w:w="8364" w:type="dxa"/>
            <w:hideMark/>
          </w:tcPr>
          <w:p w:rsidR="001546C5" w:rsidRPr="007436BB" w:rsidRDefault="001546C5" w:rsidP="00EC455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436BB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Etat de mise en œuvre</w:t>
            </w:r>
          </w:p>
        </w:tc>
      </w:tr>
      <w:tr w:rsidR="001546C5" w:rsidRPr="007436BB" w:rsidTr="00F97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 w:val="restart"/>
          </w:tcPr>
          <w:p w:rsidR="001546C5" w:rsidRPr="007436BB" w:rsidRDefault="001546C5" w:rsidP="009D17E1">
            <w:pPr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436BB">
              <w:rPr>
                <w:rFonts w:ascii="Garamond" w:eastAsiaTheme="minorEastAsia" w:hAnsi="Garamond" w:cs="Times New Roman"/>
                <w:b w:val="0"/>
                <w:sz w:val="20"/>
                <w:szCs w:val="20"/>
                <w:lang w:eastAsia="fr-FR"/>
              </w:rPr>
              <w:t xml:space="preserve">Composante 1 : Le système de partage et de l’utilisation des données climatiques </w:t>
            </w:r>
            <w:r w:rsidR="009D17E1" w:rsidRPr="007436BB">
              <w:rPr>
                <w:rFonts w:ascii="Garamond" w:eastAsiaTheme="minorEastAsia" w:hAnsi="Garamond" w:cs="Times New Roman"/>
                <w:b w:val="0"/>
                <w:sz w:val="20"/>
                <w:szCs w:val="20"/>
                <w:lang w:eastAsia="fr-FR"/>
              </w:rPr>
              <w:t>e</w:t>
            </w:r>
            <w:r w:rsidRPr="007436BB">
              <w:rPr>
                <w:rFonts w:ascii="Garamond" w:eastAsiaTheme="minorEastAsia" w:hAnsi="Garamond" w:cs="Times New Roman"/>
                <w:b w:val="0"/>
                <w:sz w:val="20"/>
                <w:szCs w:val="20"/>
                <w:lang w:eastAsia="fr-FR"/>
              </w:rPr>
              <w:t>s</w:t>
            </w:r>
            <w:r w:rsidR="009D17E1" w:rsidRPr="007436BB">
              <w:rPr>
                <w:rFonts w:ascii="Garamond" w:eastAsiaTheme="minorEastAsia" w:hAnsi="Garamond" w:cs="Times New Roman"/>
                <w:b w:val="0"/>
                <w:sz w:val="20"/>
                <w:szCs w:val="20"/>
                <w:lang w:eastAsia="fr-FR"/>
              </w:rPr>
              <w:t>t renforcé</w:t>
            </w:r>
            <w:r w:rsidRPr="007436BB">
              <w:rPr>
                <w:rFonts w:ascii="Garamond" w:eastAsiaTheme="minorEastAsia" w:hAnsi="Garamond" w:cs="Times New Roman"/>
                <w:b w:val="0"/>
                <w:sz w:val="20"/>
                <w:szCs w:val="20"/>
                <w:lang w:eastAsia="fr-FR"/>
              </w:rPr>
              <w:t xml:space="preserve"> dans le processus de la prise de décision ainsi que la planification</w:t>
            </w:r>
          </w:p>
        </w:tc>
        <w:tc>
          <w:tcPr>
            <w:tcW w:w="8364" w:type="dxa"/>
          </w:tcPr>
          <w:p w:rsidR="001546C5" w:rsidRPr="007436BB" w:rsidRDefault="001546C5" w:rsidP="00EC4554">
            <w:pPr>
              <w:spacing w:line="23" w:lineRule="atLeast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20"/>
                <w:szCs w:val="20"/>
                <w:lang w:eastAsia="fr-FR"/>
              </w:rPr>
            </w:pPr>
            <w:r w:rsidRPr="007436BB">
              <w:rPr>
                <w:rFonts w:ascii="Garamond" w:hAnsi="Garamond" w:cs="Times New Roman"/>
                <w:sz w:val="20"/>
                <w:szCs w:val="20"/>
                <w:lang w:eastAsia="fr-FR"/>
              </w:rPr>
              <w:t>La collaboration avec la DGMET a permis de réaliser ce qui suit :</w:t>
            </w:r>
          </w:p>
          <w:p w:rsidR="001546C5" w:rsidRPr="007436BB" w:rsidRDefault="001546C5" w:rsidP="001546C5">
            <w:pPr>
              <w:pStyle w:val="a8"/>
              <w:widowControl w:val="0"/>
              <w:numPr>
                <w:ilvl w:val="0"/>
                <w:numId w:val="7"/>
              </w:numPr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EastAsia" w:hAnsi="Garamond" w:cs="Times New Roman"/>
                <w:sz w:val="20"/>
                <w:szCs w:val="20"/>
                <w:lang w:eastAsia="fr-FR"/>
              </w:rPr>
            </w:pPr>
            <w:r w:rsidRPr="007436BB">
              <w:rPr>
                <w:rFonts w:ascii="Garamond" w:eastAsiaTheme="minorEastAsia" w:hAnsi="Garamond" w:cs="Times New Roman"/>
                <w:sz w:val="20"/>
                <w:szCs w:val="20"/>
                <w:lang w:eastAsia="fr-FR"/>
              </w:rPr>
              <w:t xml:space="preserve">Une mission initiale pour la prise de contact avec les producteurs </w:t>
            </w:r>
            <w:proofErr w:type="spellStart"/>
            <w:r w:rsidRPr="007436BB">
              <w:rPr>
                <w:rFonts w:ascii="Garamond" w:eastAsiaTheme="minorEastAsia" w:hAnsi="Garamond" w:cs="Times New Roman"/>
                <w:sz w:val="20"/>
                <w:szCs w:val="20"/>
                <w:lang w:eastAsia="fr-FR"/>
              </w:rPr>
              <w:t>agrosylvo</w:t>
            </w:r>
            <w:proofErr w:type="spellEnd"/>
            <w:r w:rsidRPr="007436BB">
              <w:rPr>
                <w:rFonts w:ascii="Garamond" w:eastAsiaTheme="minorEastAsia" w:hAnsi="Garamond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436BB">
              <w:rPr>
                <w:rFonts w:ascii="Garamond" w:eastAsiaTheme="minorEastAsia" w:hAnsi="Garamond" w:cs="Times New Roman"/>
                <w:sz w:val="20"/>
                <w:szCs w:val="20"/>
                <w:lang w:eastAsia="fr-FR"/>
              </w:rPr>
              <w:t>pastoralistes</w:t>
            </w:r>
            <w:proofErr w:type="spellEnd"/>
            <w:r w:rsidRPr="007436BB">
              <w:rPr>
                <w:rFonts w:ascii="Garamond" w:eastAsiaTheme="minorEastAsia" w:hAnsi="Garamond" w:cs="Times New Roman"/>
                <w:sz w:val="20"/>
                <w:szCs w:val="20"/>
                <w:lang w:eastAsia="fr-FR"/>
              </w:rPr>
              <w:t xml:space="preserve"> du village de M’</w:t>
            </w:r>
            <w:proofErr w:type="spellStart"/>
            <w:r w:rsidRPr="007436BB">
              <w:rPr>
                <w:rFonts w:ascii="Garamond" w:eastAsiaTheme="minorEastAsia" w:hAnsi="Garamond" w:cs="Times New Roman"/>
                <w:sz w:val="20"/>
                <w:szCs w:val="20"/>
                <w:lang w:eastAsia="fr-FR"/>
              </w:rPr>
              <w:t>Bamga</w:t>
            </w:r>
            <w:proofErr w:type="spellEnd"/>
            <w:r w:rsidRPr="007436BB">
              <w:rPr>
                <w:rFonts w:ascii="Garamond" w:eastAsiaTheme="minorEastAsia" w:hAnsi="Garamond" w:cs="Times New Roman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7436BB">
              <w:rPr>
                <w:rFonts w:ascii="Garamond" w:eastAsiaTheme="minorEastAsia" w:hAnsi="Garamond" w:cs="Times New Roman"/>
                <w:sz w:val="20"/>
                <w:szCs w:val="20"/>
                <w:lang w:eastAsia="fr-FR"/>
              </w:rPr>
              <w:t>Dori</w:t>
            </w:r>
            <w:proofErr w:type="spellEnd"/>
            <w:r w:rsidRPr="007436BB">
              <w:rPr>
                <w:rFonts w:ascii="Garamond" w:eastAsiaTheme="minorEastAsia" w:hAnsi="Garamond" w:cs="Times New Roman"/>
                <w:sz w:val="20"/>
                <w:szCs w:val="20"/>
                <w:lang w:eastAsia="fr-FR"/>
              </w:rPr>
              <w:t xml:space="preserve">. Cette mission avait pour objectif de présenter l’activité d’assistance </w:t>
            </w:r>
            <w:proofErr w:type="spellStart"/>
            <w:r w:rsidRPr="007436BB">
              <w:rPr>
                <w:rFonts w:ascii="Garamond" w:eastAsiaTheme="minorEastAsia" w:hAnsi="Garamond" w:cs="Times New Roman"/>
                <w:sz w:val="20"/>
                <w:szCs w:val="20"/>
                <w:lang w:eastAsia="fr-FR"/>
              </w:rPr>
              <w:t>agrométéorologique</w:t>
            </w:r>
            <w:proofErr w:type="spellEnd"/>
            <w:r w:rsidRPr="007436BB">
              <w:rPr>
                <w:rFonts w:ascii="Garamond" w:eastAsiaTheme="minorEastAsia" w:hAnsi="Garamond" w:cs="Times New Roman"/>
                <w:sz w:val="20"/>
                <w:szCs w:val="20"/>
                <w:lang w:eastAsia="fr-FR"/>
              </w:rPr>
              <w:t xml:space="preserve"> et de prendre connaissance de leurs attentes. Elle a aussi permis d’avoir une idée des activités qui sont menées dans le village.</w:t>
            </w:r>
          </w:p>
          <w:p w:rsidR="001546C5" w:rsidRPr="007436BB" w:rsidRDefault="001546C5" w:rsidP="001546C5">
            <w:pPr>
              <w:pStyle w:val="a8"/>
              <w:widowControl w:val="0"/>
              <w:numPr>
                <w:ilvl w:val="0"/>
                <w:numId w:val="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EastAsia" w:hAnsi="Garamond" w:cs="Times New Roman"/>
                <w:sz w:val="20"/>
                <w:szCs w:val="20"/>
                <w:lang w:eastAsia="fr-FR"/>
              </w:rPr>
            </w:pPr>
            <w:r w:rsidRPr="007436BB">
              <w:rPr>
                <w:rFonts w:ascii="Garamond" w:eastAsiaTheme="minorEastAsia" w:hAnsi="Garamond" w:cs="Times New Roman"/>
                <w:sz w:val="20"/>
                <w:szCs w:val="20"/>
                <w:lang w:eastAsia="fr-FR"/>
              </w:rPr>
              <w:t xml:space="preserve">La formation des producteurs </w:t>
            </w:r>
            <w:proofErr w:type="spellStart"/>
            <w:r w:rsidRPr="007436BB">
              <w:rPr>
                <w:rFonts w:ascii="Garamond" w:eastAsiaTheme="minorEastAsia" w:hAnsi="Garamond" w:cs="Times New Roman"/>
                <w:sz w:val="20"/>
                <w:szCs w:val="20"/>
                <w:lang w:eastAsia="fr-FR"/>
              </w:rPr>
              <w:t>agrosylvo</w:t>
            </w:r>
            <w:proofErr w:type="spellEnd"/>
            <w:r w:rsidRPr="007436BB">
              <w:rPr>
                <w:rFonts w:ascii="Garamond" w:eastAsiaTheme="minorEastAsia" w:hAnsi="Garamond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436BB">
              <w:rPr>
                <w:rFonts w:ascii="Garamond" w:eastAsiaTheme="minorEastAsia" w:hAnsi="Garamond" w:cs="Times New Roman"/>
                <w:sz w:val="20"/>
                <w:szCs w:val="20"/>
                <w:lang w:eastAsia="fr-FR"/>
              </w:rPr>
              <w:t>pastoralistes</w:t>
            </w:r>
            <w:proofErr w:type="spellEnd"/>
            <w:r w:rsidRPr="007436BB">
              <w:rPr>
                <w:rFonts w:ascii="Garamond" w:eastAsiaTheme="minorEastAsia" w:hAnsi="Garamond" w:cs="Times New Roman"/>
                <w:sz w:val="20"/>
                <w:szCs w:val="20"/>
                <w:lang w:eastAsia="fr-FR"/>
              </w:rPr>
              <w:t xml:space="preserve"> du village de M’</w:t>
            </w:r>
            <w:proofErr w:type="spellStart"/>
            <w:r w:rsidRPr="007436BB">
              <w:rPr>
                <w:rFonts w:ascii="Garamond" w:eastAsiaTheme="minorEastAsia" w:hAnsi="Garamond" w:cs="Times New Roman"/>
                <w:sz w:val="20"/>
                <w:szCs w:val="20"/>
                <w:lang w:eastAsia="fr-FR"/>
              </w:rPr>
              <w:t>Bamga</w:t>
            </w:r>
            <w:proofErr w:type="spellEnd"/>
            <w:r w:rsidRPr="007436BB">
              <w:rPr>
                <w:rFonts w:ascii="Garamond" w:eastAsiaTheme="minorEastAsia" w:hAnsi="Garamond" w:cs="Times New Roman"/>
                <w:sz w:val="20"/>
                <w:szCs w:val="20"/>
                <w:lang w:eastAsia="fr-FR"/>
              </w:rPr>
              <w:t xml:space="preserve"> en </w:t>
            </w:r>
            <w:proofErr w:type="spellStart"/>
            <w:r w:rsidRPr="007436BB">
              <w:rPr>
                <w:rFonts w:ascii="Garamond" w:eastAsiaTheme="minorEastAsia" w:hAnsi="Garamond" w:cs="Times New Roman"/>
                <w:sz w:val="20"/>
                <w:szCs w:val="20"/>
                <w:lang w:eastAsia="fr-FR"/>
              </w:rPr>
              <w:t>agrométéorologie</w:t>
            </w:r>
            <w:proofErr w:type="spellEnd"/>
            <w:r w:rsidRPr="007436BB">
              <w:rPr>
                <w:rFonts w:ascii="Garamond" w:eastAsiaTheme="minorEastAsia" w:hAnsi="Garamond" w:cs="Times New Roman"/>
                <w:sz w:val="20"/>
                <w:szCs w:val="20"/>
                <w:lang w:eastAsia="fr-FR"/>
              </w:rPr>
              <w:t>. Elle a concerné 162 producteurs et 5 agents d’encadrement dans les modules suivants :</w:t>
            </w:r>
          </w:p>
          <w:p w:rsidR="001546C5" w:rsidRPr="007436BB" w:rsidRDefault="001546C5" w:rsidP="001546C5">
            <w:pPr>
              <w:pStyle w:val="a8"/>
              <w:widowControl w:val="0"/>
              <w:numPr>
                <w:ilvl w:val="0"/>
                <w:numId w:val="8"/>
              </w:num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EastAsia" w:hAnsi="Garamond" w:cs="Times New Roman"/>
                <w:sz w:val="20"/>
                <w:szCs w:val="20"/>
                <w:lang w:eastAsia="fr-FR"/>
              </w:rPr>
            </w:pPr>
            <w:r w:rsidRPr="007436BB">
              <w:rPr>
                <w:rFonts w:ascii="Garamond" w:eastAsiaTheme="minorEastAsia" w:hAnsi="Garamond" w:cs="Times New Roman"/>
                <w:sz w:val="20"/>
                <w:szCs w:val="20"/>
                <w:lang w:eastAsia="fr-FR"/>
              </w:rPr>
              <w:t>la climatologie de la province – les changements climatiques ;</w:t>
            </w:r>
          </w:p>
          <w:p w:rsidR="001546C5" w:rsidRPr="007436BB" w:rsidRDefault="001546C5" w:rsidP="001546C5">
            <w:pPr>
              <w:numPr>
                <w:ilvl w:val="0"/>
                <w:numId w:val="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20"/>
                <w:szCs w:val="20"/>
                <w:lang w:eastAsia="fr-FR"/>
              </w:rPr>
            </w:pPr>
            <w:r w:rsidRPr="007436BB">
              <w:rPr>
                <w:rFonts w:ascii="Garamond" w:hAnsi="Garamond" w:cs="Times New Roman"/>
                <w:sz w:val="20"/>
                <w:szCs w:val="20"/>
                <w:lang w:eastAsia="fr-FR"/>
              </w:rPr>
              <w:t xml:space="preserve"> les risques climatiques ;</w:t>
            </w:r>
          </w:p>
          <w:p w:rsidR="001546C5" w:rsidRPr="007436BB" w:rsidRDefault="001546C5" w:rsidP="001546C5">
            <w:pPr>
              <w:numPr>
                <w:ilvl w:val="0"/>
                <w:numId w:val="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20"/>
                <w:szCs w:val="20"/>
                <w:lang w:eastAsia="fr-FR"/>
              </w:rPr>
            </w:pPr>
            <w:r w:rsidRPr="007436BB">
              <w:rPr>
                <w:rFonts w:ascii="Garamond" w:hAnsi="Garamond" w:cs="Times New Roman"/>
                <w:sz w:val="20"/>
                <w:szCs w:val="20"/>
                <w:lang w:eastAsia="fr-FR"/>
              </w:rPr>
              <w:t xml:space="preserve">les  prévisions météorologiques et climatiques ; </w:t>
            </w:r>
          </w:p>
          <w:p w:rsidR="001546C5" w:rsidRPr="007436BB" w:rsidRDefault="001546C5" w:rsidP="001546C5">
            <w:pPr>
              <w:numPr>
                <w:ilvl w:val="0"/>
                <w:numId w:val="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20"/>
                <w:szCs w:val="20"/>
                <w:lang w:eastAsia="fr-FR"/>
              </w:rPr>
            </w:pPr>
            <w:r w:rsidRPr="007436BB">
              <w:rPr>
                <w:rFonts w:ascii="Garamond" w:hAnsi="Garamond" w:cs="Times New Roman"/>
                <w:sz w:val="20"/>
                <w:szCs w:val="20"/>
                <w:lang w:eastAsia="fr-FR"/>
              </w:rPr>
              <w:t xml:space="preserve">les produits </w:t>
            </w:r>
            <w:proofErr w:type="spellStart"/>
            <w:r w:rsidRPr="007436BB">
              <w:rPr>
                <w:rFonts w:ascii="Garamond" w:hAnsi="Garamond" w:cs="Times New Roman"/>
                <w:sz w:val="20"/>
                <w:szCs w:val="20"/>
                <w:lang w:eastAsia="fr-FR"/>
              </w:rPr>
              <w:t>agrométéorologiques</w:t>
            </w:r>
            <w:proofErr w:type="spellEnd"/>
            <w:r w:rsidRPr="007436BB">
              <w:rPr>
                <w:rFonts w:ascii="Garamond" w:hAnsi="Garamond" w:cs="Times New Roman"/>
                <w:sz w:val="20"/>
                <w:szCs w:val="20"/>
                <w:lang w:eastAsia="fr-FR"/>
              </w:rPr>
              <w:t>, leur utilité, quand et comment les utiliser ;</w:t>
            </w:r>
          </w:p>
          <w:p w:rsidR="001546C5" w:rsidRPr="007436BB" w:rsidRDefault="001546C5" w:rsidP="001546C5">
            <w:pPr>
              <w:numPr>
                <w:ilvl w:val="0"/>
                <w:numId w:val="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20"/>
                <w:szCs w:val="20"/>
                <w:lang w:eastAsia="fr-FR"/>
              </w:rPr>
            </w:pPr>
            <w:r w:rsidRPr="007436BB">
              <w:rPr>
                <w:rFonts w:ascii="Garamond" w:hAnsi="Garamond" w:cs="Times New Roman"/>
                <w:sz w:val="20"/>
                <w:szCs w:val="20"/>
                <w:lang w:eastAsia="fr-FR"/>
              </w:rPr>
              <w:t>les stratégies d’adaptation à la variabilité et au changement climatique ;</w:t>
            </w:r>
          </w:p>
          <w:p w:rsidR="001546C5" w:rsidRPr="007436BB" w:rsidRDefault="001546C5" w:rsidP="001546C5">
            <w:pPr>
              <w:numPr>
                <w:ilvl w:val="0"/>
                <w:numId w:val="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20"/>
                <w:szCs w:val="20"/>
                <w:lang w:eastAsia="fr-FR"/>
              </w:rPr>
            </w:pPr>
            <w:r w:rsidRPr="007436BB">
              <w:rPr>
                <w:rFonts w:ascii="Garamond" w:hAnsi="Garamond" w:cs="Times New Roman"/>
                <w:sz w:val="20"/>
                <w:szCs w:val="20"/>
                <w:lang w:eastAsia="fr-FR"/>
              </w:rPr>
              <w:t xml:space="preserve">le pluviomètre, son utilité, son installation et les relevés pluviométriques et leurs importances. </w:t>
            </w:r>
          </w:p>
        </w:tc>
      </w:tr>
      <w:tr w:rsidR="001546C5" w:rsidRPr="007436BB" w:rsidTr="00F97F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</w:tcPr>
          <w:p w:rsidR="001546C5" w:rsidRPr="007436BB" w:rsidRDefault="001546C5" w:rsidP="00EC4554">
            <w:pPr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364" w:type="dxa"/>
          </w:tcPr>
          <w:p w:rsidR="001546C5" w:rsidRPr="007436BB" w:rsidRDefault="001546C5" w:rsidP="001546C5">
            <w:pPr>
              <w:pStyle w:val="a8"/>
              <w:widowControl w:val="0"/>
              <w:numPr>
                <w:ilvl w:val="0"/>
                <w:numId w:val="7"/>
              </w:numPr>
              <w:spacing w:after="2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Theme="minorEastAsia" w:hAnsi="Garamond" w:cs="Times New Roman"/>
                <w:sz w:val="20"/>
                <w:szCs w:val="20"/>
                <w:lang w:eastAsia="fr-FR"/>
              </w:rPr>
            </w:pPr>
            <w:r w:rsidRPr="007436BB">
              <w:rPr>
                <w:rFonts w:ascii="Garamond" w:eastAsiaTheme="minorEastAsia" w:hAnsi="Garamond" w:cs="Times New Roman"/>
                <w:sz w:val="20"/>
                <w:szCs w:val="20"/>
                <w:lang w:eastAsia="fr-FR"/>
              </w:rPr>
              <w:t xml:space="preserve">L’élaboration de bulletins </w:t>
            </w:r>
            <w:proofErr w:type="spellStart"/>
            <w:r w:rsidRPr="007436BB">
              <w:rPr>
                <w:rFonts w:ascii="Garamond" w:eastAsiaTheme="minorEastAsia" w:hAnsi="Garamond" w:cs="Times New Roman"/>
                <w:sz w:val="20"/>
                <w:szCs w:val="20"/>
                <w:lang w:eastAsia="fr-FR"/>
              </w:rPr>
              <w:t>agrométéorologiques</w:t>
            </w:r>
            <w:proofErr w:type="spellEnd"/>
            <w:r w:rsidRPr="007436BB">
              <w:rPr>
                <w:rFonts w:ascii="Garamond" w:eastAsiaTheme="minorEastAsia" w:hAnsi="Garamond" w:cs="Times New Roman"/>
                <w:sz w:val="20"/>
                <w:szCs w:val="20"/>
                <w:lang w:eastAsia="fr-FR"/>
              </w:rPr>
              <w:t xml:space="preserve"> quotidiens pendant les mois de septembre et octobre 2014. </w:t>
            </w:r>
          </w:p>
          <w:p w:rsidR="001546C5" w:rsidRPr="007436BB" w:rsidRDefault="001546C5" w:rsidP="00EC4554">
            <w:pPr>
              <w:pStyle w:val="a8"/>
              <w:widowControl w:val="0"/>
              <w:spacing w:after="240"/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Theme="minorEastAsia" w:hAnsi="Garamond" w:cs="Times New Roman"/>
                <w:sz w:val="20"/>
                <w:szCs w:val="20"/>
                <w:lang w:eastAsia="fr-FR"/>
              </w:rPr>
            </w:pPr>
            <w:r w:rsidRPr="007436BB">
              <w:rPr>
                <w:rFonts w:ascii="Garamond" w:eastAsiaTheme="minorEastAsia" w:hAnsi="Garamond" w:cs="Times New Roman"/>
                <w:sz w:val="20"/>
                <w:szCs w:val="20"/>
                <w:lang w:eastAsia="fr-FR"/>
              </w:rPr>
              <w:t xml:space="preserve">Malgré le démarrage tardif de l’assistance </w:t>
            </w:r>
            <w:proofErr w:type="spellStart"/>
            <w:r w:rsidRPr="007436BB">
              <w:rPr>
                <w:rFonts w:ascii="Garamond" w:eastAsiaTheme="minorEastAsia" w:hAnsi="Garamond" w:cs="Times New Roman"/>
                <w:sz w:val="20"/>
                <w:szCs w:val="20"/>
                <w:lang w:eastAsia="fr-FR"/>
              </w:rPr>
              <w:t>agrométéorologique</w:t>
            </w:r>
            <w:proofErr w:type="spellEnd"/>
            <w:r w:rsidRPr="007436BB">
              <w:rPr>
                <w:rFonts w:ascii="Garamond" w:eastAsiaTheme="minorEastAsia" w:hAnsi="Garamond" w:cs="Times New Roman"/>
                <w:sz w:val="20"/>
                <w:szCs w:val="20"/>
                <w:lang w:eastAsia="fr-FR"/>
              </w:rPr>
              <w:t xml:space="preserve">, des bulletins </w:t>
            </w:r>
            <w:proofErr w:type="spellStart"/>
            <w:r w:rsidRPr="007436BB">
              <w:rPr>
                <w:rFonts w:ascii="Garamond" w:eastAsiaTheme="minorEastAsia" w:hAnsi="Garamond" w:cs="Times New Roman"/>
                <w:sz w:val="20"/>
                <w:szCs w:val="20"/>
                <w:lang w:eastAsia="fr-FR"/>
              </w:rPr>
              <w:t>agrométéorologiques</w:t>
            </w:r>
            <w:proofErr w:type="spellEnd"/>
            <w:r w:rsidRPr="007436BB">
              <w:rPr>
                <w:rFonts w:ascii="Garamond" w:eastAsiaTheme="minorEastAsia" w:hAnsi="Garamond" w:cs="Times New Roman"/>
                <w:sz w:val="20"/>
                <w:szCs w:val="20"/>
                <w:lang w:eastAsia="fr-FR"/>
              </w:rPr>
              <w:t xml:space="preserve"> quotidiens ont été élaborés pour les mois de septembre et octobre. </w:t>
            </w:r>
          </w:p>
          <w:p w:rsidR="001546C5" w:rsidRPr="007436BB" w:rsidRDefault="001546C5" w:rsidP="001546C5">
            <w:pPr>
              <w:pStyle w:val="a8"/>
              <w:widowControl w:val="0"/>
              <w:numPr>
                <w:ilvl w:val="0"/>
                <w:numId w:val="7"/>
              </w:numPr>
              <w:spacing w:after="2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Theme="minorEastAsia" w:hAnsi="Garamond" w:cs="Times New Roman"/>
                <w:sz w:val="20"/>
                <w:szCs w:val="20"/>
                <w:lang w:eastAsia="fr-FR"/>
              </w:rPr>
            </w:pPr>
            <w:r w:rsidRPr="007436BB">
              <w:rPr>
                <w:rFonts w:ascii="Garamond" w:eastAsiaTheme="minorEastAsia" w:hAnsi="Garamond" w:cs="Times New Roman"/>
                <w:sz w:val="20"/>
                <w:szCs w:val="20"/>
                <w:lang w:eastAsia="fr-FR"/>
              </w:rPr>
              <w:t>L’établissement d’un contrat de prestation de services avec la Radio Rurale du Nord pour la diffusion de l’information climatique. Ce contrat a été signé en fin aout pour une diffusion en septembre et octobre 2014. Cela a permis la mise à disposition de l’information climatique aux paysans afin qu’ils puissent prendre des décisions efficaces afin d’améliorer leur productivité.</w:t>
            </w:r>
          </w:p>
          <w:p w:rsidR="001546C5" w:rsidRPr="007436BB" w:rsidRDefault="001546C5" w:rsidP="001546C5">
            <w:pPr>
              <w:pStyle w:val="a8"/>
              <w:widowControl w:val="0"/>
              <w:numPr>
                <w:ilvl w:val="0"/>
                <w:numId w:val="7"/>
              </w:numPr>
              <w:spacing w:after="2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Theme="minorEastAsia" w:hAnsi="Garamond" w:cs="Times New Roman"/>
                <w:sz w:val="20"/>
                <w:szCs w:val="20"/>
                <w:lang w:eastAsia="fr-FR"/>
              </w:rPr>
            </w:pPr>
            <w:r w:rsidRPr="007436BB">
              <w:rPr>
                <w:rFonts w:ascii="Garamond" w:eastAsiaTheme="minorEastAsia" w:hAnsi="Garamond" w:cs="Times New Roman"/>
                <w:sz w:val="20"/>
                <w:szCs w:val="20"/>
                <w:lang w:eastAsia="fr-FR"/>
              </w:rPr>
              <w:t xml:space="preserve">4 missions de suivi in situ qui ont permis d’évaluer l’évolution de la campagne et la compréhension de l’information climatique fournie dans la formation et par la radio. </w:t>
            </w:r>
          </w:p>
          <w:p w:rsidR="001546C5" w:rsidRPr="007436BB" w:rsidRDefault="001546C5" w:rsidP="001546C5">
            <w:pPr>
              <w:pStyle w:val="a8"/>
              <w:numPr>
                <w:ilvl w:val="0"/>
                <w:numId w:val="7"/>
              </w:numPr>
              <w:spacing w:after="240" w:line="23" w:lineRule="atLeas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Theme="minorEastAsia" w:hAnsi="Garamond" w:cs="Times New Roman"/>
                <w:sz w:val="20"/>
                <w:szCs w:val="20"/>
                <w:lang w:eastAsia="fr-FR"/>
              </w:rPr>
            </w:pPr>
            <w:r w:rsidRPr="007436BB">
              <w:rPr>
                <w:rFonts w:ascii="Garamond" w:eastAsiaTheme="minorEastAsia" w:hAnsi="Garamond" w:cs="Times New Roman"/>
                <w:sz w:val="20"/>
                <w:szCs w:val="20"/>
                <w:lang w:eastAsia="fr-FR"/>
              </w:rPr>
              <w:t xml:space="preserve">Une évaluation effectuée en début et en fin d’activité devra permettre d’avoir une idée de son impact </w:t>
            </w:r>
            <w:r w:rsidRPr="007436BB">
              <w:rPr>
                <w:rFonts w:ascii="Garamond" w:eastAsiaTheme="minorEastAsia" w:hAnsi="Garamond" w:cs="Times New Roman"/>
                <w:sz w:val="20"/>
                <w:szCs w:val="20"/>
                <w:lang w:eastAsia="fr-FR"/>
              </w:rPr>
              <w:lastRenderedPageBreak/>
              <w:t>auprès des paysans. Malheureusement, l’enquête de fin d’activité n’est pas encore finie à cause de la mobilité des producteurs.</w:t>
            </w:r>
          </w:p>
        </w:tc>
      </w:tr>
      <w:tr w:rsidR="0039364F" w:rsidRPr="007436BB" w:rsidTr="00F97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39364F" w:rsidRPr="007436BB" w:rsidRDefault="0039364F" w:rsidP="00EC4554">
            <w:pPr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364" w:type="dxa"/>
          </w:tcPr>
          <w:p w:rsidR="0039364F" w:rsidRPr="007436BB" w:rsidRDefault="0084215A" w:rsidP="0039364F">
            <w:pPr>
              <w:spacing w:line="23" w:lineRule="atLeast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20"/>
                <w:szCs w:val="20"/>
                <w:lang w:eastAsia="fr-FR"/>
              </w:rPr>
            </w:pPr>
            <w:r w:rsidRPr="007436BB">
              <w:rPr>
                <w:rFonts w:ascii="Garamond" w:hAnsi="Garamond" w:cs="Times New Roman"/>
                <w:sz w:val="20"/>
                <w:szCs w:val="20"/>
                <w:lang w:eastAsia="fr-FR"/>
              </w:rPr>
              <w:t xml:space="preserve">Le partenariat avec </w:t>
            </w:r>
            <w:r w:rsidR="0039364F" w:rsidRPr="007436BB">
              <w:rPr>
                <w:rFonts w:ascii="Garamond" w:hAnsi="Garamond" w:cs="Times New Roman"/>
                <w:sz w:val="20"/>
                <w:szCs w:val="20"/>
                <w:lang w:eastAsia="fr-FR"/>
              </w:rPr>
              <w:t>l’équipe de l’Université de Ouagadougou</w:t>
            </w:r>
            <w:r w:rsidRPr="007436BB">
              <w:rPr>
                <w:rFonts w:ascii="Garamond" w:hAnsi="Garamond" w:cs="Times New Roman"/>
                <w:sz w:val="20"/>
                <w:szCs w:val="20"/>
                <w:lang w:eastAsia="fr-FR"/>
              </w:rPr>
              <w:t xml:space="preserve"> </w:t>
            </w:r>
            <w:r w:rsidR="007A2586" w:rsidRPr="007436BB">
              <w:rPr>
                <w:rFonts w:ascii="Garamond" w:hAnsi="Garamond" w:cs="Times New Roman"/>
                <w:sz w:val="20"/>
                <w:szCs w:val="20"/>
                <w:lang w:eastAsia="fr-FR"/>
              </w:rPr>
              <w:t xml:space="preserve">en collaboration avec Millenium Institute </w:t>
            </w:r>
            <w:r w:rsidRPr="007436BB">
              <w:rPr>
                <w:rFonts w:ascii="Garamond" w:hAnsi="Garamond" w:cs="Times New Roman"/>
                <w:sz w:val="20"/>
                <w:szCs w:val="20"/>
                <w:lang w:eastAsia="fr-FR"/>
              </w:rPr>
              <w:t>a permis la réalisation d</w:t>
            </w:r>
            <w:r w:rsidR="00CB7B25" w:rsidRPr="007436BB">
              <w:rPr>
                <w:rFonts w:ascii="Garamond" w:hAnsi="Garamond" w:cs="Times New Roman"/>
                <w:sz w:val="20"/>
                <w:szCs w:val="20"/>
                <w:lang w:eastAsia="fr-FR"/>
              </w:rPr>
              <w:t>’un</w:t>
            </w:r>
            <w:r w:rsidRPr="007436BB">
              <w:rPr>
                <w:rFonts w:ascii="Garamond" w:hAnsi="Garamond" w:cs="Times New Roman"/>
                <w:sz w:val="20"/>
                <w:szCs w:val="20"/>
                <w:lang w:eastAsia="fr-FR"/>
              </w:rPr>
              <w:t xml:space="preserve">e </w:t>
            </w:r>
            <w:r w:rsidR="00CB7B25" w:rsidRPr="007436BB">
              <w:rPr>
                <w:rFonts w:ascii="Garamond" w:hAnsi="Garamond" w:cs="Times New Roman"/>
                <w:sz w:val="20"/>
                <w:szCs w:val="20"/>
                <w:lang w:eastAsia="fr-FR"/>
              </w:rPr>
              <w:t>for</w:t>
            </w:r>
            <w:r w:rsidRPr="007436BB">
              <w:rPr>
                <w:rFonts w:ascii="Garamond" w:hAnsi="Garamond" w:cs="Times New Roman"/>
                <w:sz w:val="20"/>
                <w:szCs w:val="20"/>
                <w:lang w:eastAsia="fr-FR"/>
              </w:rPr>
              <w:t xml:space="preserve">mation sur la technique avancée de l’utilisation de l’outil T21 pour la modélisation dynamique d’adaptation multisectorielle. Cela contribue à la </w:t>
            </w:r>
            <w:r w:rsidR="0039364F" w:rsidRPr="007436BB">
              <w:rPr>
                <w:rFonts w:ascii="Garamond" w:hAnsi="Garamond" w:cs="Times New Roman"/>
                <w:sz w:val="20"/>
                <w:szCs w:val="20"/>
                <w:lang w:eastAsia="fr-FR"/>
              </w:rPr>
              <w:t>valoris</w:t>
            </w:r>
            <w:r w:rsidRPr="007436BB">
              <w:rPr>
                <w:rFonts w:ascii="Garamond" w:hAnsi="Garamond" w:cs="Times New Roman"/>
                <w:sz w:val="20"/>
                <w:szCs w:val="20"/>
                <w:lang w:eastAsia="fr-FR"/>
              </w:rPr>
              <w:t>ation des</w:t>
            </w:r>
            <w:r w:rsidR="0039364F" w:rsidRPr="007436BB">
              <w:rPr>
                <w:rFonts w:ascii="Garamond" w:hAnsi="Garamond" w:cs="Times New Roman"/>
                <w:sz w:val="20"/>
                <w:szCs w:val="20"/>
                <w:lang w:eastAsia="fr-FR"/>
              </w:rPr>
              <w:t xml:space="preserve"> compétences acquises dans le cadre du projet PANA-JAPON (AAP). </w:t>
            </w:r>
            <w:r w:rsidRPr="007436BB">
              <w:rPr>
                <w:rFonts w:ascii="Garamond" w:hAnsi="Garamond" w:cs="Times New Roman"/>
                <w:sz w:val="20"/>
                <w:szCs w:val="20"/>
                <w:lang w:eastAsia="fr-FR"/>
              </w:rPr>
              <w:t xml:space="preserve">Au total </w:t>
            </w:r>
            <w:r w:rsidR="00CB7B25" w:rsidRPr="007436BB">
              <w:rPr>
                <w:rFonts w:ascii="Garamond" w:hAnsi="Garamond" w:cs="Times New Roman"/>
                <w:sz w:val="20"/>
                <w:szCs w:val="20"/>
                <w:lang w:eastAsia="fr-FR"/>
              </w:rPr>
              <w:t>14</w:t>
            </w:r>
            <w:r w:rsidRPr="007436BB">
              <w:rPr>
                <w:rFonts w:ascii="Garamond" w:hAnsi="Garamond" w:cs="Times New Roman"/>
                <w:sz w:val="20"/>
                <w:szCs w:val="20"/>
                <w:lang w:eastAsia="fr-FR"/>
              </w:rPr>
              <w:t xml:space="preserve"> personnes</w:t>
            </w:r>
            <w:r w:rsidR="00CB7B25" w:rsidRPr="007436BB">
              <w:rPr>
                <w:rFonts w:ascii="Garamond" w:hAnsi="Garamond" w:cs="Times New Roman"/>
                <w:sz w:val="20"/>
                <w:szCs w:val="20"/>
                <w:lang w:eastAsia="fr-FR"/>
              </w:rPr>
              <w:t>,</w:t>
            </w:r>
            <w:r w:rsidRPr="007436BB">
              <w:rPr>
                <w:rFonts w:ascii="Garamond" w:hAnsi="Garamond" w:cs="Times New Roman"/>
                <w:sz w:val="20"/>
                <w:szCs w:val="20"/>
                <w:lang w:eastAsia="fr-FR"/>
              </w:rPr>
              <w:t xml:space="preserve"> </w:t>
            </w:r>
            <w:r w:rsidR="00CB7B25" w:rsidRPr="007436BB">
              <w:rPr>
                <w:rFonts w:ascii="Garamond" w:hAnsi="Garamond" w:cs="Times New Roman"/>
                <w:sz w:val="20"/>
                <w:szCs w:val="20"/>
                <w:lang w:eastAsia="fr-FR"/>
              </w:rPr>
              <w:t>toutes des hommes,</w:t>
            </w:r>
            <w:r w:rsidRPr="007436BB">
              <w:rPr>
                <w:rFonts w:ascii="Garamond" w:hAnsi="Garamond" w:cs="Times New Roman"/>
                <w:sz w:val="20"/>
                <w:szCs w:val="20"/>
                <w:lang w:eastAsia="fr-FR"/>
              </w:rPr>
              <w:t xml:space="preserve"> ont vu leurs capacités renforcées. </w:t>
            </w:r>
          </w:p>
          <w:p w:rsidR="0039364F" w:rsidRPr="007436BB" w:rsidRDefault="0039364F" w:rsidP="0039364F">
            <w:pPr>
              <w:spacing w:line="23" w:lineRule="atLeast"/>
              <w:ind w:left="36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20"/>
                <w:szCs w:val="20"/>
                <w:lang w:eastAsia="fr-FR"/>
              </w:rPr>
            </w:pPr>
          </w:p>
          <w:p w:rsidR="0039364F" w:rsidRPr="007436BB" w:rsidRDefault="0039364F" w:rsidP="0039364F">
            <w:pPr>
              <w:widowControl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20"/>
                <w:szCs w:val="20"/>
                <w:lang w:eastAsia="fr-FR"/>
              </w:rPr>
            </w:pPr>
          </w:p>
        </w:tc>
      </w:tr>
    </w:tbl>
    <w:p w:rsidR="001546C5" w:rsidRPr="007436BB" w:rsidRDefault="001546C5" w:rsidP="001546C5">
      <w:pPr>
        <w:spacing w:after="0"/>
        <w:jc w:val="both"/>
        <w:rPr>
          <w:rFonts w:ascii="Garamond" w:eastAsia="Calibri" w:hAnsi="Garamond" w:cs="Times New Roman"/>
          <w:noProof/>
          <w:szCs w:val="24"/>
          <w:lang w:eastAsia="fr-FR"/>
        </w:rPr>
      </w:pPr>
    </w:p>
    <w:p w:rsidR="001546C5" w:rsidRPr="007436BB" w:rsidRDefault="001546C5" w:rsidP="001546C5">
      <w:pPr>
        <w:spacing w:after="0" w:line="23" w:lineRule="atLeast"/>
        <w:jc w:val="both"/>
        <w:rPr>
          <w:rFonts w:ascii="Garamond" w:hAnsi="Garamond" w:cs="Times New Roman"/>
          <w:szCs w:val="24"/>
          <w:lang w:eastAsia="fr-FR"/>
        </w:rPr>
      </w:pPr>
      <w:r w:rsidRPr="007436BB">
        <w:rPr>
          <w:rFonts w:ascii="Garamond" w:hAnsi="Garamond" w:cs="Times New Roman"/>
          <w:szCs w:val="24"/>
          <w:lang w:eastAsia="fr-FR"/>
        </w:rPr>
        <w:t>Au niveau de la Composante 2</w:t>
      </w:r>
    </w:p>
    <w:p w:rsidR="001546C5" w:rsidRPr="007436BB" w:rsidRDefault="001546C5" w:rsidP="001546C5">
      <w:pPr>
        <w:spacing w:after="0"/>
        <w:jc w:val="both"/>
        <w:rPr>
          <w:rFonts w:ascii="Garamond" w:eastAsia="Calibri" w:hAnsi="Garamond" w:cs="Times New Roman"/>
          <w:noProof/>
          <w:szCs w:val="24"/>
          <w:lang w:eastAsia="fr-FR"/>
        </w:rPr>
      </w:pPr>
    </w:p>
    <w:tbl>
      <w:tblPr>
        <w:tblStyle w:val="3"/>
        <w:tblW w:w="10349" w:type="dxa"/>
        <w:tblInd w:w="-176" w:type="dxa"/>
        <w:tblLook w:val="04A0" w:firstRow="1" w:lastRow="0" w:firstColumn="1" w:lastColumn="0" w:noHBand="0" w:noVBand="1"/>
      </w:tblPr>
      <w:tblGrid>
        <w:gridCol w:w="2127"/>
        <w:gridCol w:w="8222"/>
      </w:tblGrid>
      <w:tr w:rsidR="001546C5" w:rsidRPr="007436BB" w:rsidTr="00F97F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:rsidR="001546C5" w:rsidRPr="007436BB" w:rsidRDefault="001546C5" w:rsidP="00EC4554">
            <w:pPr>
              <w:spacing w:line="27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436BB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Activités</w:t>
            </w:r>
          </w:p>
        </w:tc>
        <w:tc>
          <w:tcPr>
            <w:tcW w:w="8222" w:type="dxa"/>
            <w:hideMark/>
          </w:tcPr>
          <w:p w:rsidR="001546C5" w:rsidRPr="007436BB" w:rsidRDefault="001546C5" w:rsidP="00EC455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436BB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Etat de mise en œuvre</w:t>
            </w:r>
          </w:p>
        </w:tc>
      </w:tr>
      <w:tr w:rsidR="001546C5" w:rsidRPr="007436BB" w:rsidTr="00F97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1546C5" w:rsidRPr="007436BB" w:rsidRDefault="001546C5" w:rsidP="00EC4554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436BB">
              <w:rPr>
                <w:rFonts w:ascii="Garamond" w:eastAsiaTheme="minorEastAsia" w:hAnsi="Garamond" w:cs="Times New Roman"/>
                <w:b w:val="0"/>
                <w:sz w:val="20"/>
                <w:szCs w:val="20"/>
                <w:lang w:eastAsia="fr-FR"/>
              </w:rPr>
              <w:t xml:space="preserve">Composante 02 : Les différents indices climatiques sont identifiés et testés afin de mieux gérer les risques liés aux changements climatiques  </w:t>
            </w:r>
          </w:p>
        </w:tc>
        <w:tc>
          <w:tcPr>
            <w:tcW w:w="8222" w:type="dxa"/>
          </w:tcPr>
          <w:p w:rsidR="001546C5" w:rsidRPr="007436BB" w:rsidRDefault="001546C5" w:rsidP="00EC4554">
            <w:pPr>
              <w:spacing w:line="23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20"/>
                <w:szCs w:val="20"/>
                <w:lang w:eastAsia="fr-FR"/>
              </w:rPr>
            </w:pPr>
            <w:r w:rsidRPr="007436BB">
              <w:rPr>
                <w:rFonts w:ascii="Garamond" w:hAnsi="Garamond" w:cs="Times New Roman"/>
                <w:sz w:val="20"/>
                <w:szCs w:val="20"/>
                <w:lang w:eastAsia="fr-FR"/>
              </w:rPr>
              <w:t>Signature d’un mémorandum avec Oxfam dans le cadre de la formulation des différents indices climatiques. L’étude est en cours et devrait permettre :</w:t>
            </w:r>
          </w:p>
          <w:p w:rsidR="001546C5" w:rsidRPr="007436BB" w:rsidRDefault="001546C5" w:rsidP="001546C5">
            <w:pPr>
              <w:pStyle w:val="a8"/>
              <w:numPr>
                <w:ilvl w:val="0"/>
                <w:numId w:val="9"/>
              </w:numPr>
              <w:spacing w:line="23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EastAsia" w:hAnsi="Garamond" w:cs="Times New Roman"/>
                <w:sz w:val="20"/>
                <w:szCs w:val="20"/>
                <w:lang w:eastAsia="fr-FR"/>
              </w:rPr>
            </w:pPr>
            <w:r w:rsidRPr="007436BB">
              <w:rPr>
                <w:rFonts w:ascii="Garamond" w:eastAsiaTheme="minorEastAsia" w:hAnsi="Garamond" w:cs="Times New Roman"/>
                <w:sz w:val="20"/>
                <w:szCs w:val="20"/>
                <w:lang w:eastAsia="fr-FR"/>
              </w:rPr>
              <w:t xml:space="preserve">L’information de la population et </w:t>
            </w:r>
            <w:r w:rsidR="00EB6350" w:rsidRPr="007436BB">
              <w:rPr>
                <w:rFonts w:ascii="Garamond" w:eastAsiaTheme="minorEastAsia" w:hAnsi="Garamond" w:cs="Times New Roman"/>
                <w:sz w:val="20"/>
                <w:szCs w:val="20"/>
                <w:lang w:eastAsia="fr-FR"/>
              </w:rPr>
              <w:t>d</w:t>
            </w:r>
            <w:r w:rsidRPr="007436BB">
              <w:rPr>
                <w:rFonts w:ascii="Garamond" w:eastAsiaTheme="minorEastAsia" w:hAnsi="Garamond" w:cs="Times New Roman"/>
                <w:sz w:val="20"/>
                <w:szCs w:val="20"/>
                <w:lang w:eastAsia="fr-FR"/>
              </w:rPr>
              <w:t xml:space="preserve">es décideurs politiques aux niveaux des sites pilotes du </w:t>
            </w:r>
            <w:r w:rsidR="00EB6350" w:rsidRPr="007436BB">
              <w:rPr>
                <w:rFonts w:ascii="Garamond" w:eastAsiaTheme="minorEastAsia" w:hAnsi="Garamond" w:cs="Times New Roman"/>
                <w:sz w:val="20"/>
                <w:szCs w:val="20"/>
                <w:lang w:eastAsia="fr-FR"/>
              </w:rPr>
              <w:t xml:space="preserve">projet </w:t>
            </w:r>
            <w:r w:rsidRPr="007436BB">
              <w:rPr>
                <w:rFonts w:ascii="Garamond" w:eastAsiaTheme="minorEastAsia" w:hAnsi="Garamond" w:cs="Times New Roman"/>
                <w:sz w:val="20"/>
                <w:szCs w:val="20"/>
                <w:lang w:eastAsia="fr-FR"/>
              </w:rPr>
              <w:t>TICAD V sur le concept, le champ, les produits et les bénéfices de l’assurance climatique;</w:t>
            </w:r>
          </w:p>
          <w:p w:rsidR="001546C5" w:rsidRPr="007436BB" w:rsidRDefault="001546C5" w:rsidP="001546C5">
            <w:pPr>
              <w:numPr>
                <w:ilvl w:val="0"/>
                <w:numId w:val="9"/>
              </w:numPr>
              <w:spacing w:line="23" w:lineRule="atLeast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20"/>
                <w:szCs w:val="20"/>
                <w:lang w:eastAsia="fr-FR"/>
              </w:rPr>
            </w:pPr>
            <w:r w:rsidRPr="007436BB">
              <w:rPr>
                <w:rFonts w:ascii="Garamond" w:hAnsi="Garamond" w:cs="Times New Roman"/>
                <w:sz w:val="20"/>
                <w:szCs w:val="20"/>
                <w:lang w:eastAsia="fr-FR"/>
              </w:rPr>
              <w:t>Une analyse des risques auxquels les populations de la zone sont confrontées est faite sous forme de focus groupe ;</w:t>
            </w:r>
          </w:p>
          <w:p w:rsidR="001546C5" w:rsidRPr="007436BB" w:rsidRDefault="001546C5" w:rsidP="001546C5">
            <w:pPr>
              <w:numPr>
                <w:ilvl w:val="0"/>
                <w:numId w:val="9"/>
              </w:numPr>
              <w:spacing w:line="23" w:lineRule="atLeast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20"/>
                <w:szCs w:val="20"/>
                <w:lang w:eastAsia="fr-FR"/>
              </w:rPr>
            </w:pPr>
            <w:r w:rsidRPr="007436BB">
              <w:rPr>
                <w:rFonts w:ascii="Garamond" w:hAnsi="Garamond" w:cs="Times New Roman"/>
                <w:sz w:val="20"/>
                <w:szCs w:val="20"/>
                <w:lang w:eastAsia="fr-FR"/>
              </w:rPr>
              <w:t xml:space="preserve">L’élaboration de 02 indices climatiques (01 de secteur agricole et 01 de l’élevage) </w:t>
            </w:r>
          </w:p>
          <w:p w:rsidR="001546C5" w:rsidRPr="007436BB" w:rsidRDefault="001546C5" w:rsidP="001546C5">
            <w:pPr>
              <w:numPr>
                <w:ilvl w:val="0"/>
                <w:numId w:val="9"/>
              </w:numPr>
              <w:spacing w:line="23" w:lineRule="atLeast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20"/>
                <w:szCs w:val="20"/>
                <w:lang w:eastAsia="fr-FR"/>
              </w:rPr>
            </w:pPr>
            <w:r w:rsidRPr="007436BB">
              <w:rPr>
                <w:rFonts w:ascii="Garamond" w:hAnsi="Garamond" w:cs="Times New Roman"/>
                <w:sz w:val="20"/>
                <w:szCs w:val="20"/>
                <w:lang w:eastAsia="fr-FR"/>
              </w:rPr>
              <w:t>L’information des différents acteurs clés (secteurs privés, sociétés d’assurance, agro-business) sur le concept d’assurance climatique ;</w:t>
            </w:r>
          </w:p>
          <w:p w:rsidR="001546C5" w:rsidRPr="007436BB" w:rsidRDefault="001546C5" w:rsidP="001546C5">
            <w:pPr>
              <w:numPr>
                <w:ilvl w:val="0"/>
                <w:numId w:val="9"/>
              </w:numPr>
              <w:spacing w:line="23" w:lineRule="atLeast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20"/>
                <w:szCs w:val="20"/>
                <w:lang w:eastAsia="fr-FR"/>
              </w:rPr>
            </w:pPr>
            <w:r w:rsidRPr="007436BB">
              <w:rPr>
                <w:rFonts w:ascii="Garamond" w:hAnsi="Garamond" w:cs="Times New Roman"/>
                <w:sz w:val="20"/>
                <w:szCs w:val="20"/>
                <w:lang w:eastAsia="fr-FR"/>
              </w:rPr>
              <w:t>L’élaboration des différents outils (guide/note d’information, modules de formation, outils de communication etc.) et leur mise à la disposition aux différents acteurs clés en matière de l’assurance climatique ;</w:t>
            </w:r>
          </w:p>
          <w:p w:rsidR="001546C5" w:rsidRDefault="001546C5" w:rsidP="00F97FF7">
            <w:pPr>
              <w:numPr>
                <w:ilvl w:val="0"/>
                <w:numId w:val="9"/>
              </w:numPr>
              <w:spacing w:line="23" w:lineRule="atLeast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20"/>
                <w:szCs w:val="20"/>
                <w:lang w:eastAsia="fr-FR"/>
              </w:rPr>
            </w:pPr>
            <w:r w:rsidRPr="007436BB">
              <w:rPr>
                <w:rFonts w:ascii="Garamond" w:hAnsi="Garamond" w:cs="Times New Roman"/>
                <w:sz w:val="20"/>
                <w:szCs w:val="20"/>
                <w:lang w:eastAsia="fr-FR"/>
              </w:rPr>
              <w:t>L’élaboration d’un plan d’action pour la mise en place de l’assurance dans la zone, avec les périodes, les actions</w:t>
            </w:r>
            <w:r w:rsidR="00EB6350" w:rsidRPr="007436BB">
              <w:rPr>
                <w:rFonts w:ascii="Garamond" w:hAnsi="Garamond" w:cs="Times New Roman"/>
                <w:sz w:val="20"/>
                <w:szCs w:val="20"/>
                <w:lang w:eastAsia="fr-FR"/>
              </w:rPr>
              <w:t>,</w:t>
            </w:r>
            <w:r w:rsidR="003502F8">
              <w:rPr>
                <w:rFonts w:ascii="Garamond" w:hAnsi="Garamond" w:cs="Times New Roman"/>
                <w:sz w:val="20"/>
                <w:szCs w:val="20"/>
                <w:lang w:eastAsia="fr-FR"/>
              </w:rPr>
              <w:t xml:space="preserve"> les acteurs et le coût ;</w:t>
            </w:r>
          </w:p>
          <w:p w:rsidR="003973DB" w:rsidRDefault="003973DB" w:rsidP="00F97FF7">
            <w:pPr>
              <w:numPr>
                <w:ilvl w:val="0"/>
                <w:numId w:val="9"/>
              </w:numPr>
              <w:spacing w:line="23" w:lineRule="atLeast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20"/>
                <w:szCs w:val="20"/>
                <w:lang w:eastAsia="fr-FR"/>
              </w:rPr>
            </w:pPr>
            <w:r>
              <w:rPr>
                <w:rFonts w:ascii="Garamond" w:hAnsi="Garamond" w:cs="Times New Roman"/>
                <w:sz w:val="20"/>
                <w:szCs w:val="20"/>
                <w:lang w:eastAsia="fr-FR"/>
              </w:rPr>
              <w:t>Une première mission de prise de contact avec les différentes parties prenantes au niveau local a eu lieu au mois de décembre</w:t>
            </w:r>
            <w:r w:rsidR="003502F8">
              <w:rPr>
                <w:rFonts w:ascii="Garamond" w:hAnsi="Garamond" w:cs="Times New Roman"/>
                <w:sz w:val="20"/>
                <w:szCs w:val="20"/>
                <w:lang w:eastAsia="fr-FR"/>
              </w:rPr>
              <w:t xml:space="preserve"> 2014</w:t>
            </w:r>
            <w:r>
              <w:rPr>
                <w:rFonts w:ascii="Garamond" w:hAnsi="Garamond" w:cs="Times New Roman"/>
                <w:sz w:val="20"/>
                <w:szCs w:val="20"/>
                <w:lang w:eastAsia="fr-FR"/>
              </w:rPr>
              <w:t xml:space="preserve">. </w:t>
            </w:r>
          </w:p>
          <w:p w:rsidR="003973DB" w:rsidRPr="007436BB" w:rsidRDefault="003973DB" w:rsidP="003502F8">
            <w:pPr>
              <w:numPr>
                <w:ilvl w:val="0"/>
                <w:numId w:val="9"/>
              </w:numPr>
              <w:spacing w:line="23" w:lineRule="atLeast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20"/>
                <w:szCs w:val="20"/>
                <w:lang w:eastAsia="fr-FR"/>
              </w:rPr>
            </w:pPr>
            <w:r>
              <w:rPr>
                <w:rFonts w:ascii="Garamond" w:hAnsi="Garamond" w:cs="Times New Roman"/>
                <w:sz w:val="20"/>
                <w:szCs w:val="20"/>
                <w:lang w:eastAsia="fr-FR"/>
              </w:rPr>
              <w:t>Un outil a été développé et sera testé au mois de janvier 2015 avant son administration au focus groupe</w:t>
            </w:r>
            <w:r w:rsidR="003502F8">
              <w:rPr>
                <w:rFonts w:ascii="Garamond" w:hAnsi="Garamond" w:cs="Times New Roman"/>
                <w:sz w:val="20"/>
                <w:szCs w:val="20"/>
                <w:lang w:eastAsia="fr-FR"/>
              </w:rPr>
              <w:t xml:space="preserve"> qui seront identifiés </w:t>
            </w:r>
            <w:r>
              <w:rPr>
                <w:rFonts w:ascii="Garamond" w:hAnsi="Garamond" w:cs="Times New Roman"/>
                <w:sz w:val="20"/>
                <w:szCs w:val="20"/>
                <w:lang w:eastAsia="fr-FR"/>
              </w:rPr>
              <w:t>en janvier 2015</w:t>
            </w:r>
            <w:r w:rsidR="003502F8">
              <w:rPr>
                <w:rFonts w:ascii="Garamond" w:hAnsi="Garamond" w:cs="Times New Roman"/>
                <w:sz w:val="20"/>
                <w:szCs w:val="20"/>
                <w:lang w:eastAsia="fr-FR"/>
              </w:rPr>
              <w:t>.</w:t>
            </w:r>
          </w:p>
        </w:tc>
      </w:tr>
    </w:tbl>
    <w:p w:rsidR="001546C5" w:rsidRPr="007436BB" w:rsidRDefault="001546C5" w:rsidP="001546C5">
      <w:pPr>
        <w:spacing w:after="0"/>
        <w:jc w:val="both"/>
        <w:rPr>
          <w:rFonts w:ascii="Garamond" w:eastAsia="Calibri" w:hAnsi="Garamond" w:cs="Times New Roman"/>
          <w:noProof/>
          <w:szCs w:val="24"/>
          <w:lang w:eastAsia="fr-FR"/>
        </w:rPr>
      </w:pPr>
    </w:p>
    <w:p w:rsidR="001546C5" w:rsidRPr="007436BB" w:rsidRDefault="001546C5" w:rsidP="001546C5">
      <w:pPr>
        <w:spacing w:after="0" w:line="23" w:lineRule="atLeast"/>
        <w:jc w:val="both"/>
        <w:rPr>
          <w:rFonts w:ascii="Garamond" w:hAnsi="Garamond" w:cs="Times New Roman"/>
          <w:szCs w:val="24"/>
          <w:lang w:eastAsia="fr-FR"/>
        </w:rPr>
      </w:pPr>
      <w:r w:rsidRPr="007436BB">
        <w:rPr>
          <w:rFonts w:ascii="Garamond" w:hAnsi="Garamond" w:cs="Times New Roman"/>
          <w:szCs w:val="24"/>
          <w:lang w:eastAsia="fr-FR"/>
        </w:rPr>
        <w:t>Au niveau de la Composante 3</w:t>
      </w:r>
    </w:p>
    <w:p w:rsidR="001546C5" w:rsidRPr="007436BB" w:rsidRDefault="001546C5" w:rsidP="001546C5">
      <w:pPr>
        <w:spacing w:after="0"/>
        <w:jc w:val="both"/>
        <w:rPr>
          <w:rFonts w:ascii="Garamond" w:eastAsia="Calibri" w:hAnsi="Garamond" w:cs="Times New Roman"/>
          <w:noProof/>
          <w:szCs w:val="24"/>
          <w:lang w:eastAsia="fr-FR"/>
        </w:rPr>
      </w:pPr>
    </w:p>
    <w:tbl>
      <w:tblPr>
        <w:tblStyle w:val="3"/>
        <w:tblW w:w="10349" w:type="dxa"/>
        <w:tblInd w:w="-176" w:type="dxa"/>
        <w:tblLook w:val="04A0" w:firstRow="1" w:lastRow="0" w:firstColumn="1" w:lastColumn="0" w:noHBand="0" w:noVBand="1"/>
      </w:tblPr>
      <w:tblGrid>
        <w:gridCol w:w="2552"/>
        <w:gridCol w:w="7797"/>
      </w:tblGrid>
      <w:tr w:rsidR="001546C5" w:rsidRPr="007436BB" w:rsidTr="00EC45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1546C5" w:rsidRPr="007436BB" w:rsidRDefault="001546C5" w:rsidP="00EC4554">
            <w:pPr>
              <w:spacing w:line="27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436BB">
              <w:rPr>
                <w:rFonts w:ascii="Garamond" w:eastAsiaTheme="minorEastAsia" w:hAnsi="Garamond" w:cs="Times New Roman"/>
                <w:b w:val="0"/>
                <w:sz w:val="20"/>
                <w:szCs w:val="20"/>
                <w:lang w:eastAsia="fr-FR"/>
              </w:rPr>
              <w:t xml:space="preserve">Au niveau de la </w:t>
            </w:r>
            <w:r w:rsidRPr="007436BB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Activités</w:t>
            </w:r>
          </w:p>
        </w:tc>
        <w:tc>
          <w:tcPr>
            <w:tcW w:w="7797" w:type="dxa"/>
            <w:hideMark/>
          </w:tcPr>
          <w:p w:rsidR="001546C5" w:rsidRPr="007436BB" w:rsidRDefault="001546C5" w:rsidP="00EC455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436BB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Etat de mise en œuvre</w:t>
            </w:r>
          </w:p>
        </w:tc>
      </w:tr>
      <w:tr w:rsidR="001546C5" w:rsidRPr="007436BB" w:rsidTr="00EC4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1546C5" w:rsidRPr="007436BB" w:rsidRDefault="001546C5" w:rsidP="00EC4554">
            <w:pPr>
              <w:spacing w:line="23" w:lineRule="atLeast"/>
              <w:contextualSpacing/>
              <w:rPr>
                <w:rFonts w:ascii="Garamond" w:eastAsiaTheme="minorEastAsia" w:hAnsi="Garamond" w:cs="Times New Roman"/>
                <w:b w:val="0"/>
                <w:sz w:val="20"/>
                <w:szCs w:val="20"/>
                <w:lang w:eastAsia="fr-FR"/>
              </w:rPr>
            </w:pPr>
            <w:r w:rsidRPr="007436BB">
              <w:rPr>
                <w:rFonts w:ascii="Garamond" w:eastAsiaTheme="minorEastAsia" w:hAnsi="Garamond" w:cs="Times New Roman"/>
                <w:b w:val="0"/>
                <w:sz w:val="20"/>
                <w:szCs w:val="20"/>
                <w:lang w:eastAsia="fr-FR"/>
              </w:rPr>
              <w:t xml:space="preserve">Composante 03 : Accès aux financements en matière d’adaptation aux changements climatiques  </w:t>
            </w:r>
          </w:p>
          <w:p w:rsidR="001546C5" w:rsidRPr="007436BB" w:rsidRDefault="001546C5" w:rsidP="00EC4554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797" w:type="dxa"/>
          </w:tcPr>
          <w:p w:rsidR="001546C5" w:rsidRPr="007436BB" w:rsidRDefault="001546C5" w:rsidP="00BA734C">
            <w:pPr>
              <w:pStyle w:val="a8"/>
              <w:numPr>
                <w:ilvl w:val="0"/>
                <w:numId w:val="11"/>
              </w:numPr>
              <w:spacing w:line="23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EastAsia" w:hAnsi="Garamond" w:cs="Times New Roman"/>
                <w:sz w:val="20"/>
                <w:szCs w:val="20"/>
                <w:lang w:eastAsia="fr-FR"/>
              </w:rPr>
            </w:pPr>
            <w:r w:rsidRPr="007436BB">
              <w:rPr>
                <w:rFonts w:ascii="Garamond" w:eastAsiaTheme="minorEastAsia" w:hAnsi="Garamond" w:cs="Times New Roman"/>
                <w:sz w:val="20"/>
                <w:szCs w:val="20"/>
                <w:lang w:eastAsia="fr-FR"/>
              </w:rPr>
              <w:t>Dans le cadre des activités entrant dans le processus d’accréditation du SP/CONEDD  au Fonds d’Adaptation</w:t>
            </w:r>
            <w:r w:rsidR="00D00A49" w:rsidRPr="007436BB">
              <w:rPr>
                <w:rFonts w:ascii="Garamond" w:eastAsiaTheme="minorEastAsia" w:hAnsi="Garamond" w:cs="Times New Roman"/>
                <w:sz w:val="20"/>
                <w:szCs w:val="20"/>
                <w:lang w:eastAsia="fr-FR"/>
              </w:rPr>
              <w:t> :</w:t>
            </w:r>
            <w:r w:rsidR="00BA734C" w:rsidRPr="007436BB">
              <w:rPr>
                <w:rFonts w:ascii="Garamond" w:eastAsiaTheme="minorEastAsia" w:hAnsi="Garamond" w:cs="Times New Roman"/>
                <w:sz w:val="20"/>
                <w:szCs w:val="20"/>
                <w:lang w:eastAsia="fr-FR"/>
              </w:rPr>
              <w:t xml:space="preserve"> u</w:t>
            </w:r>
            <w:r w:rsidR="00D00A49" w:rsidRPr="007436BB">
              <w:rPr>
                <w:rFonts w:ascii="Garamond" w:eastAsiaTheme="minorEastAsia" w:hAnsi="Garamond" w:cs="Times New Roman"/>
                <w:sz w:val="20"/>
                <w:szCs w:val="20"/>
                <w:lang w:eastAsia="fr-FR"/>
              </w:rPr>
              <w:t>n atelier de formation sur les techniques de formulation des projets d’adaptation aux changements climatiques. Il a regroupé 20 personnes dont 2 femmes.</w:t>
            </w:r>
          </w:p>
          <w:p w:rsidR="008367AC" w:rsidRPr="007436BB" w:rsidRDefault="00CC3170" w:rsidP="008367AC">
            <w:pPr>
              <w:pStyle w:val="a8"/>
              <w:numPr>
                <w:ilvl w:val="0"/>
                <w:numId w:val="11"/>
              </w:numPr>
              <w:spacing w:line="23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EastAsia" w:hAnsi="Garamond" w:cs="Times New Roman"/>
                <w:sz w:val="20"/>
                <w:szCs w:val="20"/>
                <w:lang w:eastAsia="fr-FR"/>
              </w:rPr>
            </w:pPr>
            <w:r w:rsidRPr="007436BB">
              <w:rPr>
                <w:rFonts w:ascii="Garamond" w:eastAsiaTheme="minorEastAsia" w:hAnsi="Garamond" w:cs="Times New Roman"/>
                <w:sz w:val="20"/>
                <w:szCs w:val="20"/>
                <w:lang w:eastAsia="fr-FR"/>
              </w:rPr>
              <w:t>L’organisation de 2 ateliers d’information au profit de 70 personnes ressources</w:t>
            </w:r>
            <w:r w:rsidR="008367AC" w:rsidRPr="007436BB">
              <w:rPr>
                <w:rFonts w:ascii="Garamond" w:eastAsiaTheme="minorEastAsia" w:hAnsi="Garamond" w:cs="Times New Roman"/>
                <w:sz w:val="20"/>
                <w:szCs w:val="20"/>
                <w:lang w:eastAsia="fr-FR"/>
              </w:rPr>
              <w:t> </w:t>
            </w:r>
            <w:r w:rsidR="00BF5C2F" w:rsidRPr="007436BB">
              <w:rPr>
                <w:rFonts w:ascii="Garamond" w:eastAsiaTheme="minorEastAsia" w:hAnsi="Garamond" w:cs="Times New Roman"/>
                <w:sz w:val="20"/>
                <w:szCs w:val="20"/>
                <w:lang w:eastAsia="fr-FR"/>
              </w:rPr>
              <w:t>sur le Plan National d’Adaptation aux changements climatiques du Burkina Faso. Ces ateliers ont regroupé les :</w:t>
            </w:r>
          </w:p>
          <w:p w:rsidR="00D00A49" w:rsidRPr="007436BB" w:rsidRDefault="00D00A49" w:rsidP="008367AC">
            <w:pPr>
              <w:pStyle w:val="a8"/>
              <w:numPr>
                <w:ilvl w:val="1"/>
                <w:numId w:val="11"/>
              </w:numPr>
              <w:spacing w:line="23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EastAsia" w:hAnsi="Garamond" w:cs="Times New Roman"/>
                <w:sz w:val="20"/>
                <w:szCs w:val="20"/>
                <w:lang w:eastAsia="fr-FR"/>
              </w:rPr>
            </w:pPr>
            <w:r w:rsidRPr="007436BB">
              <w:rPr>
                <w:rFonts w:ascii="Garamond" w:eastAsiaTheme="minorEastAsia" w:hAnsi="Garamond" w:cs="Times New Roman"/>
                <w:sz w:val="20"/>
                <w:szCs w:val="20"/>
                <w:lang w:eastAsia="fr-FR"/>
              </w:rPr>
              <w:t>DEP et Cellules Environnementales</w:t>
            </w:r>
          </w:p>
          <w:p w:rsidR="008367AC" w:rsidRPr="007436BB" w:rsidRDefault="00CC3170" w:rsidP="008367AC">
            <w:pPr>
              <w:pStyle w:val="a8"/>
              <w:numPr>
                <w:ilvl w:val="1"/>
                <w:numId w:val="11"/>
              </w:numPr>
              <w:spacing w:line="23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EastAsia" w:hAnsi="Garamond" w:cs="Times New Roman"/>
                <w:sz w:val="20"/>
                <w:szCs w:val="20"/>
                <w:lang w:eastAsia="fr-FR"/>
              </w:rPr>
            </w:pPr>
            <w:r w:rsidRPr="007436BB">
              <w:rPr>
                <w:rFonts w:ascii="Garamond" w:eastAsiaTheme="minorEastAsia" w:hAnsi="Garamond" w:cs="Times New Roman"/>
                <w:sz w:val="20"/>
                <w:szCs w:val="20"/>
                <w:lang w:eastAsia="fr-FR"/>
              </w:rPr>
              <w:t>Représentants de l’A</w:t>
            </w:r>
            <w:r w:rsidR="008367AC" w:rsidRPr="007436BB">
              <w:rPr>
                <w:rFonts w:ascii="Garamond" w:eastAsiaTheme="minorEastAsia" w:hAnsi="Garamond" w:cs="Times New Roman"/>
                <w:sz w:val="20"/>
                <w:szCs w:val="20"/>
                <w:lang w:eastAsia="fr-FR"/>
              </w:rPr>
              <w:t xml:space="preserve">ssociation des </w:t>
            </w:r>
            <w:r w:rsidRPr="007436BB">
              <w:rPr>
                <w:rFonts w:ascii="Garamond" w:eastAsiaTheme="minorEastAsia" w:hAnsi="Garamond" w:cs="Times New Roman"/>
                <w:sz w:val="20"/>
                <w:szCs w:val="20"/>
                <w:lang w:eastAsia="fr-FR"/>
              </w:rPr>
              <w:t>M</w:t>
            </w:r>
            <w:r w:rsidR="008367AC" w:rsidRPr="007436BB">
              <w:rPr>
                <w:rFonts w:ascii="Garamond" w:eastAsiaTheme="minorEastAsia" w:hAnsi="Garamond" w:cs="Times New Roman"/>
                <w:sz w:val="20"/>
                <w:szCs w:val="20"/>
                <w:lang w:eastAsia="fr-FR"/>
              </w:rPr>
              <w:t xml:space="preserve">unicipalités du </w:t>
            </w:r>
            <w:r w:rsidRPr="007436BB">
              <w:rPr>
                <w:rFonts w:ascii="Garamond" w:eastAsiaTheme="minorEastAsia" w:hAnsi="Garamond" w:cs="Times New Roman"/>
                <w:sz w:val="20"/>
                <w:szCs w:val="20"/>
                <w:lang w:eastAsia="fr-FR"/>
              </w:rPr>
              <w:t>B</w:t>
            </w:r>
            <w:r w:rsidR="008367AC" w:rsidRPr="007436BB">
              <w:rPr>
                <w:rFonts w:ascii="Garamond" w:eastAsiaTheme="minorEastAsia" w:hAnsi="Garamond" w:cs="Times New Roman"/>
                <w:sz w:val="20"/>
                <w:szCs w:val="20"/>
                <w:lang w:eastAsia="fr-FR"/>
              </w:rPr>
              <w:t xml:space="preserve">urkina </w:t>
            </w:r>
            <w:r w:rsidRPr="007436BB">
              <w:rPr>
                <w:rFonts w:ascii="Garamond" w:eastAsiaTheme="minorEastAsia" w:hAnsi="Garamond" w:cs="Times New Roman"/>
                <w:sz w:val="20"/>
                <w:szCs w:val="20"/>
                <w:lang w:eastAsia="fr-FR"/>
              </w:rPr>
              <w:t>F</w:t>
            </w:r>
            <w:r w:rsidR="008367AC" w:rsidRPr="007436BB">
              <w:rPr>
                <w:rFonts w:ascii="Garamond" w:eastAsiaTheme="minorEastAsia" w:hAnsi="Garamond" w:cs="Times New Roman"/>
                <w:sz w:val="20"/>
                <w:szCs w:val="20"/>
                <w:lang w:eastAsia="fr-FR"/>
              </w:rPr>
              <w:t>aso (AMBF)</w:t>
            </w:r>
            <w:r w:rsidR="00BF5C2F" w:rsidRPr="007436BB">
              <w:rPr>
                <w:rFonts w:ascii="Garamond" w:eastAsiaTheme="minorEastAsia" w:hAnsi="Garamond" w:cs="Times New Roman"/>
                <w:sz w:val="20"/>
                <w:szCs w:val="20"/>
                <w:lang w:eastAsia="fr-FR"/>
              </w:rPr>
              <w:t>,</w:t>
            </w:r>
            <w:r w:rsidR="008367AC" w:rsidRPr="007436BB">
              <w:rPr>
                <w:rFonts w:ascii="Garamond" w:eastAsiaTheme="minorEastAsia" w:hAnsi="Garamond" w:cs="Times New Roman"/>
                <w:sz w:val="20"/>
                <w:szCs w:val="20"/>
                <w:lang w:eastAsia="fr-FR"/>
              </w:rPr>
              <w:t xml:space="preserve"> </w:t>
            </w:r>
          </w:p>
          <w:p w:rsidR="008367AC" w:rsidRPr="007436BB" w:rsidRDefault="008367AC" w:rsidP="008367AC">
            <w:pPr>
              <w:pStyle w:val="a8"/>
              <w:numPr>
                <w:ilvl w:val="1"/>
                <w:numId w:val="11"/>
              </w:numPr>
              <w:spacing w:line="23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EastAsia" w:hAnsi="Garamond" w:cs="Times New Roman"/>
                <w:sz w:val="20"/>
                <w:szCs w:val="20"/>
                <w:lang w:eastAsia="fr-FR"/>
              </w:rPr>
            </w:pPr>
            <w:r w:rsidRPr="007436BB">
              <w:rPr>
                <w:rFonts w:ascii="Garamond" w:eastAsiaTheme="minorEastAsia" w:hAnsi="Garamond" w:cs="Times New Roman"/>
                <w:sz w:val="20"/>
                <w:szCs w:val="20"/>
                <w:lang w:eastAsia="fr-FR"/>
              </w:rPr>
              <w:t>Représentants de l’Association des Régions du Burkina Faso</w:t>
            </w:r>
            <w:r w:rsidR="00CC3170" w:rsidRPr="007436BB">
              <w:rPr>
                <w:rFonts w:ascii="Garamond" w:eastAsiaTheme="minorEastAsia" w:hAnsi="Garamond" w:cs="Times New Roman"/>
                <w:sz w:val="20"/>
                <w:szCs w:val="20"/>
                <w:lang w:eastAsia="fr-FR"/>
              </w:rPr>
              <w:t xml:space="preserve"> </w:t>
            </w:r>
            <w:r w:rsidR="00BF5C2F" w:rsidRPr="007436BB">
              <w:rPr>
                <w:rFonts w:ascii="Garamond" w:eastAsiaTheme="minorEastAsia" w:hAnsi="Garamond" w:cs="Times New Roman"/>
                <w:sz w:val="20"/>
                <w:szCs w:val="20"/>
                <w:lang w:eastAsia="fr-FR"/>
              </w:rPr>
              <w:t xml:space="preserve">(ARBF) </w:t>
            </w:r>
            <w:r w:rsidRPr="007436BB">
              <w:rPr>
                <w:rFonts w:ascii="Garamond" w:eastAsiaTheme="minorEastAsia" w:hAnsi="Garamond" w:cs="Times New Roman"/>
                <w:sz w:val="20"/>
                <w:szCs w:val="20"/>
                <w:lang w:eastAsia="fr-FR"/>
              </w:rPr>
              <w:t xml:space="preserve">issues des </w:t>
            </w:r>
            <w:r w:rsidR="00CC3170" w:rsidRPr="007436BB">
              <w:rPr>
                <w:rFonts w:ascii="Garamond" w:eastAsiaTheme="minorEastAsia" w:hAnsi="Garamond" w:cs="Times New Roman"/>
                <w:sz w:val="20"/>
                <w:szCs w:val="20"/>
                <w:lang w:eastAsia="fr-FR"/>
              </w:rPr>
              <w:t>13 régions</w:t>
            </w:r>
            <w:r w:rsidR="00BF5C2F" w:rsidRPr="007436BB">
              <w:rPr>
                <w:rFonts w:ascii="Garamond" w:eastAsiaTheme="minorEastAsia" w:hAnsi="Garamond" w:cs="Times New Roman"/>
                <w:sz w:val="20"/>
                <w:szCs w:val="20"/>
                <w:lang w:eastAsia="fr-FR"/>
              </w:rPr>
              <w:t> ;</w:t>
            </w:r>
            <w:r w:rsidR="00CC3170" w:rsidRPr="007436BB">
              <w:rPr>
                <w:rFonts w:ascii="Garamond" w:eastAsiaTheme="minorEastAsia" w:hAnsi="Garamond" w:cs="Times New Roman"/>
                <w:sz w:val="20"/>
                <w:szCs w:val="20"/>
                <w:lang w:eastAsia="fr-FR"/>
              </w:rPr>
              <w:t xml:space="preserve"> </w:t>
            </w:r>
          </w:p>
          <w:p w:rsidR="008367AC" w:rsidRPr="007436BB" w:rsidRDefault="008367AC" w:rsidP="008367AC">
            <w:pPr>
              <w:pStyle w:val="a8"/>
              <w:numPr>
                <w:ilvl w:val="1"/>
                <w:numId w:val="11"/>
              </w:numPr>
              <w:spacing w:line="23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EastAsia" w:hAnsi="Garamond" w:cs="Times New Roman"/>
                <w:sz w:val="20"/>
                <w:szCs w:val="20"/>
                <w:lang w:eastAsia="fr-FR"/>
              </w:rPr>
            </w:pPr>
            <w:r w:rsidRPr="007436BB">
              <w:rPr>
                <w:rFonts w:ascii="Garamond" w:eastAsiaTheme="minorEastAsia" w:hAnsi="Garamond" w:cs="Times New Roman"/>
                <w:sz w:val="20"/>
                <w:szCs w:val="20"/>
                <w:lang w:eastAsia="fr-FR"/>
              </w:rPr>
              <w:t>Représentants de la Direction de la Promotion du Développement Local/Direction Générale de l’Aménagement du Territoire</w:t>
            </w:r>
            <w:r w:rsidR="00BF5C2F" w:rsidRPr="007436BB">
              <w:rPr>
                <w:rFonts w:ascii="Garamond" w:eastAsiaTheme="minorEastAsia" w:hAnsi="Garamond" w:cs="Times New Roman"/>
                <w:sz w:val="20"/>
                <w:szCs w:val="20"/>
                <w:lang w:eastAsia="fr-FR"/>
              </w:rPr>
              <w:t xml:space="preserve"> </w:t>
            </w:r>
            <w:r w:rsidRPr="007436BB">
              <w:rPr>
                <w:rFonts w:ascii="Garamond" w:eastAsiaTheme="minorEastAsia" w:hAnsi="Garamond" w:cs="Times New Roman"/>
                <w:sz w:val="20"/>
                <w:szCs w:val="20"/>
                <w:lang w:eastAsia="fr-FR"/>
              </w:rPr>
              <w:t>/</w:t>
            </w:r>
            <w:r w:rsidR="00BF5C2F" w:rsidRPr="007436BB">
              <w:rPr>
                <w:rFonts w:ascii="Garamond" w:eastAsiaTheme="minorEastAsia" w:hAnsi="Garamond" w:cs="Times New Roman"/>
                <w:sz w:val="20"/>
                <w:szCs w:val="20"/>
                <w:lang w:eastAsia="fr-FR"/>
              </w:rPr>
              <w:t xml:space="preserve"> </w:t>
            </w:r>
            <w:r w:rsidRPr="007436BB">
              <w:rPr>
                <w:rFonts w:ascii="Garamond" w:eastAsiaTheme="minorEastAsia" w:hAnsi="Garamond" w:cs="Times New Roman"/>
                <w:sz w:val="20"/>
                <w:szCs w:val="20"/>
                <w:lang w:eastAsia="fr-FR"/>
              </w:rPr>
              <w:t>Appui au Développement local</w:t>
            </w:r>
            <w:r w:rsidR="00BF5C2F" w:rsidRPr="007436BB">
              <w:rPr>
                <w:rFonts w:ascii="Garamond" w:eastAsiaTheme="minorEastAsia" w:hAnsi="Garamond" w:cs="Times New Roman"/>
                <w:sz w:val="20"/>
                <w:szCs w:val="20"/>
                <w:lang w:eastAsia="fr-FR"/>
              </w:rPr>
              <w:t xml:space="preserve"> </w:t>
            </w:r>
            <w:r w:rsidRPr="007436BB">
              <w:rPr>
                <w:rFonts w:ascii="Garamond" w:eastAsiaTheme="minorEastAsia" w:hAnsi="Garamond" w:cs="Times New Roman"/>
                <w:sz w:val="20"/>
                <w:szCs w:val="20"/>
                <w:lang w:eastAsia="fr-FR"/>
              </w:rPr>
              <w:t>/</w:t>
            </w:r>
            <w:r w:rsidR="00BF5C2F" w:rsidRPr="007436BB">
              <w:rPr>
                <w:rFonts w:ascii="Garamond" w:eastAsiaTheme="minorEastAsia" w:hAnsi="Garamond" w:cs="Times New Roman"/>
                <w:sz w:val="20"/>
                <w:szCs w:val="20"/>
                <w:lang w:eastAsia="fr-FR"/>
              </w:rPr>
              <w:t xml:space="preserve"> </w:t>
            </w:r>
            <w:r w:rsidRPr="007436BB">
              <w:rPr>
                <w:rFonts w:ascii="Garamond" w:eastAsiaTheme="minorEastAsia" w:hAnsi="Garamond" w:cs="Times New Roman"/>
                <w:sz w:val="20"/>
                <w:szCs w:val="20"/>
                <w:lang w:eastAsia="fr-FR"/>
              </w:rPr>
              <w:t>MATD</w:t>
            </w:r>
            <w:r w:rsidR="00BF5C2F" w:rsidRPr="007436BB">
              <w:rPr>
                <w:rFonts w:ascii="Garamond" w:eastAsiaTheme="minorEastAsia" w:hAnsi="Garamond" w:cs="Times New Roman"/>
                <w:sz w:val="20"/>
                <w:szCs w:val="20"/>
                <w:lang w:eastAsia="fr-FR"/>
              </w:rPr>
              <w:t> ;</w:t>
            </w:r>
          </w:p>
          <w:p w:rsidR="00BF5C2F" w:rsidRPr="007436BB" w:rsidRDefault="00BF5C2F" w:rsidP="008367AC">
            <w:pPr>
              <w:pStyle w:val="a8"/>
              <w:numPr>
                <w:ilvl w:val="1"/>
                <w:numId w:val="11"/>
              </w:numPr>
              <w:spacing w:line="23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EastAsia" w:hAnsi="Garamond" w:cs="Times New Roman"/>
                <w:sz w:val="20"/>
                <w:szCs w:val="20"/>
                <w:lang w:eastAsia="fr-FR"/>
              </w:rPr>
            </w:pPr>
            <w:r w:rsidRPr="007436BB">
              <w:rPr>
                <w:rFonts w:ascii="Garamond" w:eastAsiaTheme="minorEastAsia" w:hAnsi="Garamond" w:cs="Times New Roman"/>
                <w:sz w:val="20"/>
                <w:szCs w:val="20"/>
                <w:lang w:eastAsia="fr-FR"/>
              </w:rPr>
              <w:t>Représentants de la Direction Régionale de l’Environnement et du Développement Durable du Centre-Sud.</w:t>
            </w:r>
          </w:p>
          <w:p w:rsidR="008367AC" w:rsidRPr="007436BB" w:rsidRDefault="00BF5C2F" w:rsidP="007A2586">
            <w:pPr>
              <w:spacing w:line="23" w:lineRule="atLeast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20"/>
                <w:szCs w:val="20"/>
                <w:lang w:eastAsia="fr-FR"/>
              </w:rPr>
            </w:pPr>
            <w:r w:rsidRPr="007436BB">
              <w:rPr>
                <w:rFonts w:ascii="Garamond" w:hAnsi="Garamond" w:cs="Times New Roman"/>
                <w:sz w:val="20"/>
                <w:szCs w:val="20"/>
                <w:lang w:eastAsia="fr-FR"/>
              </w:rPr>
              <w:t>D</w:t>
            </w:r>
            <w:r w:rsidR="008367AC" w:rsidRPr="007436BB">
              <w:rPr>
                <w:rFonts w:ascii="Garamond" w:hAnsi="Garamond" w:cs="Times New Roman"/>
                <w:sz w:val="20"/>
                <w:szCs w:val="20"/>
                <w:lang w:eastAsia="fr-FR"/>
              </w:rPr>
              <w:t xml:space="preserve">es 70 participants 6 étaient des femmes. </w:t>
            </w:r>
          </w:p>
        </w:tc>
      </w:tr>
    </w:tbl>
    <w:p w:rsidR="001546C5" w:rsidRPr="007436BB" w:rsidRDefault="001546C5" w:rsidP="001546C5">
      <w:pPr>
        <w:spacing w:after="0"/>
        <w:jc w:val="both"/>
        <w:rPr>
          <w:rFonts w:ascii="Garamond" w:eastAsia="Calibri" w:hAnsi="Garamond" w:cs="Times New Roman"/>
          <w:noProof/>
          <w:szCs w:val="24"/>
          <w:lang w:eastAsia="fr-FR"/>
        </w:rPr>
      </w:pPr>
    </w:p>
    <w:p w:rsidR="001546C5" w:rsidRPr="007436BB" w:rsidRDefault="001546C5" w:rsidP="001546C5">
      <w:pPr>
        <w:spacing w:after="0" w:line="23" w:lineRule="atLeast"/>
        <w:jc w:val="both"/>
        <w:rPr>
          <w:rFonts w:ascii="Garamond" w:hAnsi="Garamond" w:cs="Times New Roman"/>
          <w:szCs w:val="24"/>
          <w:lang w:eastAsia="fr-FR"/>
        </w:rPr>
      </w:pPr>
      <w:r w:rsidRPr="007436BB">
        <w:rPr>
          <w:rFonts w:ascii="Garamond" w:hAnsi="Garamond" w:cs="Times New Roman"/>
          <w:szCs w:val="24"/>
          <w:lang w:eastAsia="fr-FR"/>
        </w:rPr>
        <w:lastRenderedPageBreak/>
        <w:t>Au niveau de la Composante 4</w:t>
      </w:r>
    </w:p>
    <w:tbl>
      <w:tblPr>
        <w:tblStyle w:val="3"/>
        <w:tblW w:w="10065" w:type="dxa"/>
        <w:tblInd w:w="-176" w:type="dxa"/>
        <w:tblLook w:val="04A0" w:firstRow="1" w:lastRow="0" w:firstColumn="1" w:lastColumn="0" w:noHBand="0" w:noVBand="1"/>
      </w:tblPr>
      <w:tblGrid>
        <w:gridCol w:w="1985"/>
        <w:gridCol w:w="8080"/>
      </w:tblGrid>
      <w:tr w:rsidR="001546C5" w:rsidRPr="007436BB" w:rsidTr="00F97F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1546C5" w:rsidRPr="007436BB" w:rsidRDefault="001546C5" w:rsidP="00EC4554">
            <w:pPr>
              <w:spacing w:line="27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436BB">
              <w:rPr>
                <w:rFonts w:ascii="Garamond" w:eastAsiaTheme="minorEastAsia" w:hAnsi="Garamond" w:cs="Times New Roman"/>
                <w:b w:val="0"/>
                <w:sz w:val="20"/>
                <w:szCs w:val="20"/>
                <w:lang w:eastAsia="fr-FR"/>
              </w:rPr>
              <w:t xml:space="preserve">Au niveau de la </w:t>
            </w:r>
            <w:r w:rsidRPr="007436BB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Activités</w:t>
            </w:r>
          </w:p>
        </w:tc>
        <w:tc>
          <w:tcPr>
            <w:tcW w:w="8080" w:type="dxa"/>
            <w:hideMark/>
          </w:tcPr>
          <w:p w:rsidR="001546C5" w:rsidRPr="007436BB" w:rsidRDefault="001546C5" w:rsidP="00EC455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436BB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Etat de mise en œuvre</w:t>
            </w:r>
          </w:p>
        </w:tc>
      </w:tr>
      <w:tr w:rsidR="001546C5" w:rsidRPr="007436BB" w:rsidTr="00F97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1546C5" w:rsidRPr="007436BB" w:rsidRDefault="001546C5" w:rsidP="00EC4554">
            <w:pPr>
              <w:rPr>
                <w:rFonts w:ascii="Garamond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436BB">
              <w:rPr>
                <w:rFonts w:ascii="Garamond" w:hAnsi="Garamond" w:cs="Times New Roman"/>
                <w:color w:val="000000"/>
                <w:sz w:val="20"/>
                <w:szCs w:val="20"/>
                <w:lang w:eastAsia="fr-FR"/>
              </w:rPr>
              <w:t>Composante 04: Management du programme</w:t>
            </w:r>
          </w:p>
          <w:p w:rsidR="001546C5" w:rsidRPr="007436BB" w:rsidRDefault="001546C5" w:rsidP="00EC4554">
            <w:pPr>
              <w:rPr>
                <w:rFonts w:ascii="Garamond" w:eastAsiaTheme="minorEastAsia" w:hAnsi="Garamond" w:cs="Times New Roman"/>
                <w:b w:val="0"/>
                <w:sz w:val="20"/>
                <w:szCs w:val="20"/>
                <w:lang w:eastAsia="fr-FR"/>
              </w:rPr>
            </w:pPr>
          </w:p>
        </w:tc>
        <w:tc>
          <w:tcPr>
            <w:tcW w:w="8080" w:type="dxa"/>
          </w:tcPr>
          <w:p w:rsidR="009F6640" w:rsidRPr="007436BB" w:rsidRDefault="009F6640" w:rsidP="00BA734C">
            <w:pPr>
              <w:spacing w:line="23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20"/>
                <w:szCs w:val="20"/>
                <w:lang w:eastAsia="fr-FR"/>
              </w:rPr>
            </w:pPr>
            <w:r w:rsidRPr="007436BB">
              <w:rPr>
                <w:rFonts w:ascii="Garamond" w:hAnsi="Garamond" w:cs="Times New Roman"/>
                <w:sz w:val="20"/>
                <w:szCs w:val="20"/>
                <w:lang w:eastAsia="fr-FR"/>
              </w:rPr>
              <w:t>Le renforcement des capacités du personnel des projets TICAD V (</w:t>
            </w:r>
            <w:r w:rsidR="00BA734C" w:rsidRPr="007436BB">
              <w:rPr>
                <w:rFonts w:ascii="Garamond" w:hAnsi="Garamond" w:cs="Times New Roman"/>
                <w:sz w:val="20"/>
                <w:szCs w:val="20"/>
                <w:lang w:eastAsia="fr-FR"/>
              </w:rPr>
              <w:t>5</w:t>
            </w:r>
            <w:r w:rsidRPr="007436BB">
              <w:rPr>
                <w:rFonts w:ascii="Garamond" w:hAnsi="Garamond" w:cs="Times New Roman"/>
                <w:sz w:val="20"/>
                <w:szCs w:val="20"/>
                <w:lang w:eastAsia="fr-FR"/>
              </w:rPr>
              <w:t>) et du SP/CONEDD (</w:t>
            </w:r>
            <w:r w:rsidR="00BA734C" w:rsidRPr="007436BB">
              <w:rPr>
                <w:rFonts w:ascii="Garamond" w:hAnsi="Garamond" w:cs="Times New Roman"/>
                <w:sz w:val="20"/>
                <w:szCs w:val="20"/>
                <w:lang w:eastAsia="fr-FR"/>
              </w:rPr>
              <w:t xml:space="preserve">4) </w:t>
            </w:r>
            <w:r w:rsidRPr="007436BB">
              <w:rPr>
                <w:rFonts w:ascii="Garamond" w:hAnsi="Garamond" w:cs="Times New Roman"/>
                <w:sz w:val="20"/>
                <w:szCs w:val="20"/>
                <w:lang w:eastAsia="fr-FR"/>
              </w:rPr>
              <w:t>dans divers domaines en lien avec la mise en œuvre des projets et de l</w:t>
            </w:r>
            <w:r w:rsidR="00BA734C" w:rsidRPr="007436BB">
              <w:rPr>
                <w:rFonts w:ascii="Garamond" w:hAnsi="Garamond" w:cs="Times New Roman"/>
                <w:sz w:val="20"/>
                <w:szCs w:val="20"/>
                <w:lang w:eastAsia="fr-FR"/>
              </w:rPr>
              <w:t>’opérationnalisation de l’EMOFA, sur les thèmes suivants :</w:t>
            </w:r>
          </w:p>
          <w:p w:rsidR="00BA734C" w:rsidRPr="007436BB" w:rsidRDefault="00BA734C" w:rsidP="00BA734C">
            <w:pPr>
              <w:pStyle w:val="a8"/>
              <w:numPr>
                <w:ilvl w:val="0"/>
                <w:numId w:val="12"/>
              </w:numPr>
              <w:spacing w:line="23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EastAsia" w:hAnsi="Garamond" w:cs="Times New Roman"/>
                <w:sz w:val="20"/>
                <w:szCs w:val="20"/>
                <w:lang w:eastAsia="fr-FR"/>
              </w:rPr>
            </w:pPr>
            <w:r w:rsidRPr="007436BB">
              <w:rPr>
                <w:rFonts w:ascii="Garamond" w:eastAsiaTheme="minorEastAsia" w:hAnsi="Garamond" w:cs="Times New Roman"/>
                <w:sz w:val="20"/>
                <w:szCs w:val="20"/>
                <w:lang w:eastAsia="fr-FR"/>
              </w:rPr>
              <w:t>Management stratégique du changement</w:t>
            </w:r>
          </w:p>
          <w:p w:rsidR="00BA734C" w:rsidRPr="007436BB" w:rsidRDefault="00BA734C" w:rsidP="00BA734C">
            <w:pPr>
              <w:pStyle w:val="a8"/>
              <w:numPr>
                <w:ilvl w:val="0"/>
                <w:numId w:val="12"/>
              </w:numPr>
              <w:spacing w:line="23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EastAsia" w:hAnsi="Garamond" w:cs="Times New Roman"/>
                <w:sz w:val="20"/>
                <w:szCs w:val="20"/>
                <w:lang w:eastAsia="fr-FR"/>
              </w:rPr>
            </w:pPr>
            <w:r w:rsidRPr="007436BB">
              <w:rPr>
                <w:rFonts w:ascii="Garamond" w:eastAsiaTheme="minorEastAsia" w:hAnsi="Garamond" w:cs="Times New Roman"/>
                <w:sz w:val="20"/>
                <w:szCs w:val="20"/>
                <w:lang w:eastAsia="fr-FR"/>
              </w:rPr>
              <w:t>S</w:t>
            </w:r>
            <w:r w:rsidR="0050018B" w:rsidRPr="007436BB">
              <w:rPr>
                <w:rFonts w:ascii="Garamond" w:eastAsiaTheme="minorEastAsia" w:hAnsi="Garamond" w:cs="Times New Roman"/>
                <w:sz w:val="20"/>
                <w:szCs w:val="20"/>
                <w:lang w:eastAsia="fr-FR"/>
              </w:rPr>
              <w:t>cience</w:t>
            </w:r>
            <w:r w:rsidRPr="007436BB">
              <w:rPr>
                <w:rFonts w:ascii="Garamond" w:eastAsiaTheme="minorEastAsia" w:hAnsi="Garamond" w:cs="Times New Roman"/>
                <w:sz w:val="20"/>
                <w:szCs w:val="20"/>
                <w:lang w:eastAsia="fr-FR"/>
              </w:rPr>
              <w:t xml:space="preserve"> et économie des changements climatiques</w:t>
            </w:r>
          </w:p>
          <w:p w:rsidR="00BA734C" w:rsidRPr="007436BB" w:rsidRDefault="00BA734C" w:rsidP="00BA734C">
            <w:pPr>
              <w:pStyle w:val="a8"/>
              <w:numPr>
                <w:ilvl w:val="0"/>
                <w:numId w:val="12"/>
              </w:numPr>
              <w:spacing w:line="23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EastAsia" w:hAnsi="Garamond" w:cs="Times New Roman"/>
                <w:sz w:val="20"/>
                <w:szCs w:val="20"/>
                <w:lang w:eastAsia="fr-FR"/>
              </w:rPr>
            </w:pPr>
            <w:r w:rsidRPr="007436BB">
              <w:rPr>
                <w:rFonts w:ascii="Garamond" w:eastAsiaTheme="minorEastAsia" w:hAnsi="Garamond" w:cs="Times New Roman"/>
                <w:sz w:val="20"/>
                <w:szCs w:val="20"/>
                <w:lang w:eastAsia="fr-FR"/>
              </w:rPr>
              <w:t>Archivage et gestion numérique des documents</w:t>
            </w:r>
          </w:p>
          <w:p w:rsidR="001546C5" w:rsidRPr="007436BB" w:rsidRDefault="00BA734C" w:rsidP="00EC4554">
            <w:pPr>
              <w:pStyle w:val="a8"/>
              <w:numPr>
                <w:ilvl w:val="0"/>
                <w:numId w:val="12"/>
              </w:numPr>
              <w:spacing w:line="23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EastAsia" w:hAnsi="Garamond" w:cs="Times New Roman"/>
                <w:sz w:val="20"/>
                <w:szCs w:val="20"/>
                <w:lang w:eastAsia="fr-FR"/>
              </w:rPr>
            </w:pPr>
            <w:r w:rsidRPr="007436BB">
              <w:rPr>
                <w:rFonts w:ascii="Garamond" w:eastAsiaTheme="minorEastAsia" w:hAnsi="Garamond" w:cs="Times New Roman"/>
                <w:sz w:val="20"/>
                <w:szCs w:val="20"/>
                <w:lang w:eastAsia="fr-FR"/>
              </w:rPr>
              <w:t>Gestion Administrative Financière et comptables des projets et programmes</w:t>
            </w:r>
          </w:p>
        </w:tc>
      </w:tr>
    </w:tbl>
    <w:p w:rsidR="009D6FDD" w:rsidRPr="007436BB" w:rsidRDefault="009D6FDD" w:rsidP="001546C5">
      <w:pPr>
        <w:spacing w:after="0"/>
        <w:jc w:val="both"/>
        <w:rPr>
          <w:rFonts w:ascii="Garamond" w:eastAsia="Calibri" w:hAnsi="Garamond" w:cs="Times New Roman"/>
          <w:noProof/>
          <w:szCs w:val="24"/>
          <w:lang w:eastAsia="fr-FR"/>
        </w:rPr>
      </w:pPr>
    </w:p>
    <w:p w:rsidR="009D6FDD" w:rsidRPr="007436BB" w:rsidRDefault="007A2586" w:rsidP="009D6FDD">
      <w:pPr>
        <w:keepNext/>
        <w:keepLines/>
        <w:numPr>
          <w:ilvl w:val="1"/>
          <w:numId w:val="4"/>
        </w:numPr>
        <w:spacing w:after="0" w:line="23" w:lineRule="atLeast"/>
        <w:outlineLvl w:val="0"/>
        <w:rPr>
          <w:rFonts w:ascii="Garamond" w:eastAsiaTheme="majorEastAsia" w:hAnsi="Garamond" w:cs="Times New Roman"/>
          <w:b/>
          <w:bCs/>
          <w:color w:val="365F91" w:themeColor="accent1" w:themeShade="BF"/>
          <w:szCs w:val="24"/>
          <w:lang w:eastAsia="fr-FR"/>
        </w:rPr>
      </w:pPr>
      <w:bookmarkStart w:id="3" w:name="_Toc408615912"/>
      <w:r w:rsidRPr="007436BB">
        <w:rPr>
          <w:rFonts w:ascii="Garamond" w:eastAsiaTheme="majorEastAsia" w:hAnsi="Garamond" w:cs="Times New Roman"/>
          <w:b/>
          <w:bCs/>
          <w:color w:val="365F91" w:themeColor="accent1" w:themeShade="BF"/>
          <w:szCs w:val="24"/>
          <w:lang w:eastAsia="fr-FR"/>
        </w:rPr>
        <w:t>Difficultés rencontrées / solutions proposées</w:t>
      </w:r>
      <w:bookmarkEnd w:id="3"/>
      <w:r w:rsidRPr="007436BB">
        <w:rPr>
          <w:rFonts w:ascii="Garamond" w:eastAsiaTheme="majorEastAsia" w:hAnsi="Garamond" w:cs="Times New Roman"/>
          <w:b/>
          <w:bCs/>
          <w:color w:val="365F91" w:themeColor="accent1" w:themeShade="BF"/>
          <w:szCs w:val="24"/>
          <w:lang w:eastAsia="fr-FR"/>
        </w:rPr>
        <w:t xml:space="preserve"> </w:t>
      </w:r>
    </w:p>
    <w:p w:rsidR="009D6FDD" w:rsidRPr="007436BB" w:rsidRDefault="009D6FDD" w:rsidP="009D6FDD">
      <w:pPr>
        <w:spacing w:after="0"/>
        <w:jc w:val="both"/>
        <w:rPr>
          <w:rFonts w:ascii="Garamond" w:eastAsia="Calibri" w:hAnsi="Garamond" w:cs="Times New Roman"/>
          <w:noProof/>
          <w:szCs w:val="24"/>
          <w:lang w:eastAsia="fr-FR"/>
        </w:rPr>
      </w:pPr>
      <w:r w:rsidRPr="007436BB">
        <w:rPr>
          <w:rFonts w:ascii="Garamond" w:eastAsia="Calibri" w:hAnsi="Garamond" w:cs="Times New Roman"/>
          <w:noProof/>
          <w:szCs w:val="24"/>
          <w:lang w:eastAsia="fr-FR"/>
        </w:rPr>
        <w:t>Au titre des difficultés, pourraient être notées :</w:t>
      </w:r>
    </w:p>
    <w:p w:rsidR="009D6FDD" w:rsidRPr="007436BB" w:rsidRDefault="009D6FDD" w:rsidP="009D6FDD">
      <w:pPr>
        <w:spacing w:after="0"/>
        <w:jc w:val="both"/>
        <w:rPr>
          <w:rFonts w:ascii="Garamond" w:eastAsia="Calibri" w:hAnsi="Garamond" w:cs="Times New Roman"/>
          <w:noProof/>
          <w:szCs w:val="24"/>
          <w:lang w:eastAsia="fr-FR"/>
        </w:rPr>
      </w:pPr>
    </w:p>
    <w:tbl>
      <w:tblPr>
        <w:tblStyle w:val="3"/>
        <w:tblW w:w="9889" w:type="dxa"/>
        <w:tblLook w:val="04A0" w:firstRow="1" w:lastRow="0" w:firstColumn="1" w:lastColumn="0" w:noHBand="0" w:noVBand="1"/>
      </w:tblPr>
      <w:tblGrid>
        <w:gridCol w:w="3369"/>
        <w:gridCol w:w="6520"/>
      </w:tblGrid>
      <w:tr w:rsidR="00FC3F1E" w:rsidRPr="007436BB" w:rsidTr="00E30E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FC3F1E" w:rsidRPr="007436BB" w:rsidRDefault="00FC3F1E" w:rsidP="007A2586">
            <w:pPr>
              <w:jc w:val="center"/>
              <w:rPr>
                <w:rFonts w:ascii="Garamond" w:eastAsiaTheme="minorEastAsia" w:hAnsi="Garamond" w:cs="Times New Roman"/>
                <w:szCs w:val="24"/>
                <w:lang w:eastAsia="fr-FR"/>
              </w:rPr>
            </w:pPr>
            <w:r w:rsidRPr="007436BB">
              <w:rPr>
                <w:rFonts w:ascii="Garamond" w:hAnsi="Garamond" w:cs="Times New Roman"/>
                <w:szCs w:val="24"/>
              </w:rPr>
              <w:t>Difficultés rencontrées</w:t>
            </w:r>
          </w:p>
        </w:tc>
        <w:tc>
          <w:tcPr>
            <w:tcW w:w="6520" w:type="dxa"/>
          </w:tcPr>
          <w:p w:rsidR="00FC3F1E" w:rsidRPr="007436BB" w:rsidRDefault="00FC3F1E" w:rsidP="007A25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EastAsia" w:hAnsi="Garamond" w:cs="Times New Roman"/>
                <w:szCs w:val="24"/>
                <w:lang w:eastAsia="fr-FR"/>
              </w:rPr>
            </w:pPr>
            <w:r w:rsidRPr="007436BB">
              <w:rPr>
                <w:rFonts w:ascii="Garamond" w:hAnsi="Garamond" w:cs="Times New Roman"/>
                <w:szCs w:val="24"/>
              </w:rPr>
              <w:t>Solutions proposées</w:t>
            </w:r>
          </w:p>
        </w:tc>
      </w:tr>
      <w:tr w:rsidR="00FC3F1E" w:rsidRPr="007436BB" w:rsidTr="00E30E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FC3F1E" w:rsidRPr="007436BB" w:rsidRDefault="007A2586" w:rsidP="00E30EF9">
            <w:pPr>
              <w:spacing w:line="276" w:lineRule="auto"/>
              <w:jc w:val="both"/>
              <w:rPr>
                <w:rFonts w:ascii="Garamond" w:eastAsia="Calibri" w:hAnsi="Garamond" w:cs="Times New Roman"/>
                <w:b w:val="0"/>
                <w:noProof/>
                <w:szCs w:val="24"/>
                <w:lang w:eastAsia="fr-FR"/>
              </w:rPr>
            </w:pPr>
            <w:r w:rsidRPr="007436BB">
              <w:rPr>
                <w:rFonts w:ascii="Garamond" w:eastAsia="Calibri" w:hAnsi="Garamond" w:cs="Times New Roman"/>
                <w:b w:val="0"/>
                <w:noProof/>
                <w:szCs w:val="24"/>
                <w:lang w:eastAsia="fr-FR"/>
              </w:rPr>
              <w:t>Le retard dans la finalisation du PNA</w:t>
            </w:r>
          </w:p>
        </w:tc>
        <w:tc>
          <w:tcPr>
            <w:tcW w:w="6520" w:type="dxa"/>
          </w:tcPr>
          <w:p w:rsidR="00FC3F1E" w:rsidRPr="007436BB" w:rsidRDefault="006C7C65" w:rsidP="00E30EF9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Calibri" w:hAnsi="Garamond" w:cs="Times New Roman"/>
                <w:noProof/>
                <w:szCs w:val="24"/>
                <w:lang w:eastAsia="fr-FR"/>
              </w:rPr>
            </w:pPr>
            <w:r w:rsidRPr="007436BB">
              <w:rPr>
                <w:rFonts w:ascii="Garamond" w:eastAsia="Calibri" w:hAnsi="Garamond" w:cs="Times New Roman"/>
                <w:noProof/>
                <w:szCs w:val="24"/>
                <w:lang w:eastAsia="fr-FR"/>
              </w:rPr>
              <w:t xml:space="preserve">Des rencontres d’appropriation seront organisées au cours du mois de janvier 2015 au sein du SP/CONEDD en collaboration avec l’équipe du projet TICAD V, </w:t>
            </w:r>
            <w:r w:rsidR="00FD0BD0" w:rsidRPr="007436BB">
              <w:rPr>
                <w:rFonts w:ascii="Garamond" w:eastAsia="Calibri" w:hAnsi="Garamond" w:cs="Times New Roman"/>
                <w:noProof/>
                <w:szCs w:val="24"/>
                <w:lang w:eastAsia="fr-FR"/>
              </w:rPr>
              <w:t xml:space="preserve">le </w:t>
            </w:r>
            <w:r w:rsidRPr="007436BB">
              <w:rPr>
                <w:rFonts w:ascii="Garamond" w:eastAsia="Calibri" w:hAnsi="Garamond" w:cs="Times New Roman"/>
                <w:noProof/>
                <w:szCs w:val="24"/>
                <w:lang w:eastAsia="fr-FR"/>
              </w:rPr>
              <w:t>PNE  et les personnes ressources d</w:t>
            </w:r>
            <w:r w:rsidR="00E30EF9" w:rsidRPr="007436BB">
              <w:rPr>
                <w:rFonts w:ascii="Garamond" w:eastAsia="Calibri" w:hAnsi="Garamond" w:cs="Times New Roman"/>
                <w:noProof/>
                <w:szCs w:val="24"/>
                <w:lang w:eastAsia="fr-FR"/>
              </w:rPr>
              <w:t>u</w:t>
            </w:r>
            <w:r w:rsidRPr="007436BB">
              <w:rPr>
                <w:rFonts w:ascii="Garamond" w:eastAsia="Calibri" w:hAnsi="Garamond" w:cs="Times New Roman"/>
                <w:noProof/>
                <w:szCs w:val="24"/>
                <w:lang w:eastAsia="fr-FR"/>
              </w:rPr>
              <w:t xml:space="preserve"> secteur</w:t>
            </w:r>
            <w:r w:rsidR="00E30EF9" w:rsidRPr="007436BB">
              <w:rPr>
                <w:rFonts w:ascii="Garamond" w:eastAsia="Calibri" w:hAnsi="Garamond" w:cs="Times New Roman"/>
                <w:noProof/>
                <w:szCs w:val="24"/>
                <w:lang w:eastAsia="fr-FR"/>
              </w:rPr>
              <w:t xml:space="preserve"> des</w:t>
            </w:r>
            <w:r w:rsidRPr="007436BB">
              <w:rPr>
                <w:rFonts w:ascii="Garamond" w:eastAsia="Calibri" w:hAnsi="Garamond" w:cs="Times New Roman"/>
                <w:noProof/>
                <w:szCs w:val="24"/>
                <w:lang w:eastAsia="fr-FR"/>
              </w:rPr>
              <w:t xml:space="preserve"> ressource</w:t>
            </w:r>
            <w:r w:rsidR="00E30EF9" w:rsidRPr="007436BB">
              <w:rPr>
                <w:rFonts w:ascii="Garamond" w:eastAsia="Calibri" w:hAnsi="Garamond" w:cs="Times New Roman"/>
                <w:noProof/>
                <w:szCs w:val="24"/>
                <w:lang w:eastAsia="fr-FR"/>
              </w:rPr>
              <w:t>s</w:t>
            </w:r>
            <w:r w:rsidRPr="007436BB">
              <w:rPr>
                <w:rFonts w:ascii="Garamond" w:eastAsia="Calibri" w:hAnsi="Garamond" w:cs="Times New Roman"/>
                <w:noProof/>
                <w:szCs w:val="24"/>
                <w:lang w:eastAsia="fr-FR"/>
              </w:rPr>
              <w:t xml:space="preserve"> en eau  en vue de préparer son adoption au niveau national.</w:t>
            </w:r>
          </w:p>
        </w:tc>
      </w:tr>
      <w:tr w:rsidR="00FD0BD0" w:rsidRPr="007436BB" w:rsidTr="00E30E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FD0BD0" w:rsidRPr="007436BB" w:rsidRDefault="00FD0BD0" w:rsidP="00E30EF9">
            <w:pPr>
              <w:spacing w:line="276" w:lineRule="auto"/>
              <w:jc w:val="both"/>
              <w:rPr>
                <w:rFonts w:ascii="Garamond" w:eastAsia="Calibri" w:hAnsi="Garamond" w:cs="Times New Roman"/>
                <w:b w:val="0"/>
                <w:noProof/>
                <w:szCs w:val="24"/>
                <w:lang w:eastAsia="fr-FR"/>
              </w:rPr>
            </w:pPr>
            <w:r w:rsidRPr="007436BB">
              <w:rPr>
                <w:rFonts w:ascii="Garamond" w:eastAsia="Calibri" w:hAnsi="Garamond" w:cs="Times New Roman"/>
                <w:b w:val="0"/>
                <w:noProof/>
                <w:szCs w:val="24"/>
                <w:lang w:eastAsia="fr-FR"/>
              </w:rPr>
              <w:t xml:space="preserve">Le retard dans la conduite de processus de l’accréditation </w:t>
            </w:r>
          </w:p>
        </w:tc>
        <w:tc>
          <w:tcPr>
            <w:tcW w:w="6520" w:type="dxa"/>
          </w:tcPr>
          <w:p w:rsidR="00FD0BD0" w:rsidRPr="007436BB" w:rsidRDefault="00FD0BD0" w:rsidP="00E30EF9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Calibri" w:hAnsi="Garamond" w:cs="Times New Roman"/>
                <w:noProof/>
                <w:szCs w:val="24"/>
                <w:lang w:eastAsia="fr-FR"/>
              </w:rPr>
            </w:pPr>
            <w:r w:rsidRPr="007436BB">
              <w:rPr>
                <w:rFonts w:ascii="Garamond" w:eastAsia="Calibri" w:hAnsi="Garamond" w:cs="Times New Roman"/>
                <w:noProof/>
                <w:szCs w:val="24"/>
                <w:lang w:eastAsia="fr-FR"/>
              </w:rPr>
              <w:t xml:space="preserve">Plaidoyer auprès du SP </w:t>
            </w:r>
          </w:p>
        </w:tc>
      </w:tr>
      <w:tr w:rsidR="00FD0BD0" w:rsidRPr="007436BB" w:rsidTr="00E30E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FD0BD0" w:rsidRPr="007436BB" w:rsidRDefault="00FD0BD0" w:rsidP="00E30EF9">
            <w:pPr>
              <w:spacing w:line="276" w:lineRule="auto"/>
              <w:jc w:val="both"/>
              <w:rPr>
                <w:rFonts w:ascii="Garamond" w:eastAsia="Calibri" w:hAnsi="Garamond" w:cs="Times New Roman"/>
                <w:b w:val="0"/>
                <w:noProof/>
                <w:szCs w:val="24"/>
                <w:lang w:eastAsia="fr-FR"/>
              </w:rPr>
            </w:pPr>
            <w:r w:rsidRPr="007436BB">
              <w:rPr>
                <w:rFonts w:ascii="Garamond" w:eastAsia="Calibri" w:hAnsi="Garamond" w:cs="Times New Roman"/>
                <w:b w:val="0"/>
                <w:noProof/>
                <w:szCs w:val="24"/>
                <w:lang w:eastAsia="fr-FR"/>
              </w:rPr>
              <w:t>Le retard dans la signature du mémorandum avec Oxfam</w:t>
            </w:r>
          </w:p>
        </w:tc>
        <w:tc>
          <w:tcPr>
            <w:tcW w:w="6520" w:type="dxa"/>
          </w:tcPr>
          <w:p w:rsidR="00FD0BD0" w:rsidRPr="007436BB" w:rsidRDefault="00FD0BD0" w:rsidP="00E30EF9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Calibri" w:hAnsi="Garamond" w:cs="Times New Roman"/>
                <w:noProof/>
                <w:szCs w:val="24"/>
                <w:lang w:eastAsia="fr-FR"/>
              </w:rPr>
            </w:pPr>
            <w:r w:rsidRPr="007436BB">
              <w:rPr>
                <w:rFonts w:ascii="Garamond" w:eastAsia="Calibri" w:hAnsi="Garamond" w:cs="Times New Roman"/>
                <w:noProof/>
                <w:szCs w:val="24"/>
                <w:lang w:eastAsia="fr-FR"/>
              </w:rPr>
              <w:t>Accélération dans la mise en œuvre des activités.</w:t>
            </w:r>
          </w:p>
        </w:tc>
      </w:tr>
      <w:tr w:rsidR="00FD0BD0" w:rsidRPr="007436BB" w:rsidTr="00E30E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FD0BD0" w:rsidRPr="007436BB" w:rsidRDefault="00FD0BD0" w:rsidP="00E30EF9">
            <w:pPr>
              <w:spacing w:line="276" w:lineRule="auto"/>
              <w:jc w:val="both"/>
              <w:rPr>
                <w:rFonts w:ascii="Garamond" w:eastAsia="Calibri" w:hAnsi="Garamond" w:cs="Times New Roman"/>
                <w:b w:val="0"/>
                <w:noProof/>
                <w:szCs w:val="24"/>
                <w:lang w:eastAsia="fr-FR"/>
              </w:rPr>
            </w:pPr>
            <w:r w:rsidRPr="007436BB">
              <w:rPr>
                <w:rFonts w:ascii="Garamond" w:eastAsia="Calibri" w:hAnsi="Garamond" w:cs="Times New Roman"/>
                <w:b w:val="0"/>
                <w:noProof/>
                <w:szCs w:val="24"/>
                <w:lang w:eastAsia="fr-FR"/>
              </w:rPr>
              <w:t xml:space="preserve">Non maitrise de procédure NIM par le partenaire de la mise en œuvre du projet (OXFAM) </w:t>
            </w:r>
          </w:p>
        </w:tc>
        <w:tc>
          <w:tcPr>
            <w:tcW w:w="6520" w:type="dxa"/>
          </w:tcPr>
          <w:p w:rsidR="00FD0BD0" w:rsidRPr="007436BB" w:rsidRDefault="00FD0BD0" w:rsidP="00E30EF9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Calibri" w:hAnsi="Garamond" w:cs="Times New Roman"/>
                <w:noProof/>
                <w:szCs w:val="24"/>
                <w:lang w:eastAsia="fr-FR"/>
              </w:rPr>
            </w:pPr>
            <w:r w:rsidRPr="007436BB">
              <w:rPr>
                <w:rFonts w:ascii="Garamond" w:eastAsia="Calibri" w:hAnsi="Garamond" w:cs="Times New Roman"/>
                <w:noProof/>
                <w:szCs w:val="24"/>
                <w:lang w:eastAsia="fr-FR"/>
              </w:rPr>
              <w:t xml:space="preserve">Formation sur le NIM à prévoir/organiser avec l’appui du PNUD </w:t>
            </w:r>
          </w:p>
        </w:tc>
      </w:tr>
    </w:tbl>
    <w:p w:rsidR="006C7C65" w:rsidRPr="007436BB" w:rsidRDefault="006C7C65" w:rsidP="00F711CD">
      <w:pPr>
        <w:rPr>
          <w:rFonts w:ascii="Garamond" w:hAnsi="Garamond" w:cs="Times New Roman"/>
          <w:szCs w:val="24"/>
          <w:lang w:eastAsia="fr-FR"/>
        </w:rPr>
      </w:pPr>
    </w:p>
    <w:p w:rsidR="006C7C65" w:rsidRPr="007436BB" w:rsidRDefault="006C7C65" w:rsidP="00F711CD">
      <w:pPr>
        <w:rPr>
          <w:rFonts w:ascii="Garamond" w:hAnsi="Garamond" w:cs="Times New Roman"/>
          <w:szCs w:val="24"/>
          <w:lang w:eastAsia="fr-FR"/>
        </w:rPr>
      </w:pPr>
    </w:p>
    <w:p w:rsidR="00F711CD" w:rsidRPr="007436BB" w:rsidRDefault="00F711CD" w:rsidP="00F711CD">
      <w:pPr>
        <w:keepNext/>
        <w:keepLines/>
        <w:numPr>
          <w:ilvl w:val="1"/>
          <w:numId w:val="4"/>
        </w:numPr>
        <w:spacing w:after="0" w:line="23" w:lineRule="atLeast"/>
        <w:outlineLvl w:val="0"/>
        <w:rPr>
          <w:rFonts w:ascii="Garamond" w:eastAsiaTheme="majorEastAsia" w:hAnsi="Garamond" w:cs="Times New Roman"/>
          <w:b/>
          <w:bCs/>
          <w:color w:val="365F91" w:themeColor="accent1" w:themeShade="BF"/>
          <w:szCs w:val="24"/>
          <w:lang w:eastAsia="fr-FR"/>
        </w:rPr>
      </w:pPr>
      <w:bookmarkStart w:id="4" w:name="_Toc408615913"/>
      <w:r w:rsidRPr="007436BB">
        <w:rPr>
          <w:rFonts w:ascii="Garamond" w:eastAsiaTheme="majorEastAsia" w:hAnsi="Garamond" w:cs="Times New Roman"/>
          <w:b/>
          <w:bCs/>
          <w:color w:val="365F91" w:themeColor="accent1" w:themeShade="BF"/>
          <w:szCs w:val="24"/>
          <w:lang w:eastAsia="fr-FR"/>
        </w:rPr>
        <w:t>Perspectives</w:t>
      </w:r>
      <w:bookmarkEnd w:id="4"/>
      <w:r w:rsidRPr="007436BB">
        <w:rPr>
          <w:rFonts w:ascii="Garamond" w:eastAsiaTheme="majorEastAsia" w:hAnsi="Garamond" w:cs="Times New Roman"/>
          <w:b/>
          <w:bCs/>
          <w:color w:val="365F91" w:themeColor="accent1" w:themeShade="BF"/>
          <w:szCs w:val="24"/>
          <w:lang w:eastAsia="fr-FR"/>
        </w:rPr>
        <w:t xml:space="preserve"> </w:t>
      </w:r>
    </w:p>
    <w:p w:rsidR="00F711CD" w:rsidRPr="007436BB" w:rsidRDefault="00F711CD" w:rsidP="00F711CD">
      <w:pPr>
        <w:spacing w:after="0" w:line="23" w:lineRule="atLeast"/>
        <w:jc w:val="both"/>
        <w:rPr>
          <w:rFonts w:ascii="Garamond" w:hAnsi="Garamond" w:cs="Times New Roman"/>
          <w:szCs w:val="24"/>
          <w:lang w:eastAsia="fr-FR"/>
        </w:rPr>
      </w:pPr>
    </w:p>
    <w:p w:rsidR="00F711CD" w:rsidRPr="007436BB" w:rsidRDefault="00F711CD" w:rsidP="00F711CD">
      <w:pPr>
        <w:spacing w:after="0" w:line="23" w:lineRule="atLeast"/>
        <w:jc w:val="both"/>
        <w:rPr>
          <w:rFonts w:ascii="Garamond" w:hAnsi="Garamond" w:cs="Times New Roman"/>
          <w:szCs w:val="24"/>
          <w:lang w:eastAsia="fr-FR"/>
        </w:rPr>
      </w:pPr>
      <w:r w:rsidRPr="007436BB">
        <w:rPr>
          <w:rFonts w:ascii="Garamond" w:hAnsi="Garamond" w:cs="Times New Roman"/>
          <w:szCs w:val="24"/>
          <w:lang w:eastAsia="fr-FR"/>
        </w:rPr>
        <w:t xml:space="preserve">Le </w:t>
      </w:r>
      <w:r w:rsidR="007A2586" w:rsidRPr="007436BB">
        <w:rPr>
          <w:rFonts w:ascii="Garamond" w:hAnsi="Garamond" w:cs="Times New Roman"/>
          <w:szCs w:val="24"/>
          <w:lang w:eastAsia="fr-FR"/>
        </w:rPr>
        <w:t>1</w:t>
      </w:r>
      <w:r w:rsidR="007A2586" w:rsidRPr="007436BB">
        <w:rPr>
          <w:rFonts w:ascii="Garamond" w:hAnsi="Garamond" w:cs="Times New Roman"/>
          <w:szCs w:val="24"/>
          <w:vertAlign w:val="superscript"/>
          <w:lang w:eastAsia="fr-FR"/>
        </w:rPr>
        <w:t>er</w:t>
      </w:r>
      <w:r w:rsidR="007A2586" w:rsidRPr="007436BB">
        <w:rPr>
          <w:rFonts w:ascii="Garamond" w:hAnsi="Garamond" w:cs="Times New Roman"/>
          <w:szCs w:val="24"/>
          <w:lang w:eastAsia="fr-FR"/>
        </w:rPr>
        <w:t xml:space="preserve"> </w:t>
      </w:r>
      <w:r w:rsidRPr="007436BB">
        <w:rPr>
          <w:rFonts w:ascii="Garamond" w:hAnsi="Garamond" w:cs="Times New Roman"/>
          <w:szCs w:val="24"/>
          <w:lang w:eastAsia="fr-FR"/>
        </w:rPr>
        <w:t xml:space="preserve">trimestre </w:t>
      </w:r>
      <w:r w:rsidR="007A2586" w:rsidRPr="007436BB">
        <w:rPr>
          <w:rFonts w:ascii="Garamond" w:hAnsi="Garamond" w:cs="Times New Roman"/>
          <w:szCs w:val="24"/>
          <w:lang w:eastAsia="fr-FR"/>
        </w:rPr>
        <w:t>2015 verra la réalisation de</w:t>
      </w:r>
      <w:r w:rsidRPr="007436BB">
        <w:rPr>
          <w:rFonts w:ascii="Garamond" w:hAnsi="Garamond" w:cs="Times New Roman"/>
          <w:szCs w:val="24"/>
          <w:lang w:eastAsia="fr-FR"/>
        </w:rPr>
        <w:t xml:space="preserve"> différentes activités :</w:t>
      </w:r>
    </w:p>
    <w:p w:rsidR="00F711CD" w:rsidRPr="007436BB" w:rsidRDefault="00F711CD" w:rsidP="00F711CD">
      <w:pPr>
        <w:spacing w:after="0" w:line="23" w:lineRule="atLeast"/>
        <w:jc w:val="both"/>
        <w:rPr>
          <w:rFonts w:ascii="Garamond" w:hAnsi="Garamond" w:cs="Times New Roman"/>
          <w:b/>
          <w:szCs w:val="24"/>
          <w:lang w:eastAsia="fr-FR"/>
        </w:rPr>
      </w:pPr>
    </w:p>
    <w:p w:rsidR="00F711CD" w:rsidRPr="007436BB" w:rsidRDefault="00F711CD" w:rsidP="00F711CD">
      <w:pPr>
        <w:spacing w:after="0" w:line="23" w:lineRule="atLeast"/>
        <w:jc w:val="both"/>
        <w:rPr>
          <w:rFonts w:ascii="Garamond" w:hAnsi="Garamond" w:cs="Times New Roman"/>
          <w:b/>
          <w:szCs w:val="24"/>
          <w:lang w:eastAsia="fr-FR"/>
        </w:rPr>
      </w:pPr>
      <w:r w:rsidRPr="007436BB">
        <w:rPr>
          <w:rFonts w:ascii="Garamond" w:hAnsi="Garamond" w:cs="Times New Roman"/>
          <w:b/>
          <w:szCs w:val="24"/>
          <w:lang w:eastAsia="fr-FR"/>
        </w:rPr>
        <w:t>Au niveau de l’activité 1 </w:t>
      </w:r>
    </w:p>
    <w:p w:rsidR="00F711CD" w:rsidRPr="007436BB" w:rsidRDefault="00F711CD" w:rsidP="00CB7B25">
      <w:pPr>
        <w:pStyle w:val="a8"/>
        <w:numPr>
          <w:ilvl w:val="0"/>
          <w:numId w:val="10"/>
        </w:numPr>
        <w:spacing w:after="0" w:line="23" w:lineRule="atLeast"/>
        <w:jc w:val="both"/>
        <w:rPr>
          <w:rFonts w:ascii="Garamond" w:eastAsiaTheme="minorEastAsia" w:hAnsi="Garamond" w:cs="Times New Roman"/>
          <w:szCs w:val="24"/>
          <w:lang w:eastAsia="fr-FR"/>
        </w:rPr>
      </w:pPr>
      <w:r w:rsidRPr="007436BB">
        <w:rPr>
          <w:rFonts w:ascii="Garamond" w:eastAsiaTheme="minorEastAsia" w:hAnsi="Garamond" w:cs="Times New Roman"/>
          <w:szCs w:val="24"/>
          <w:lang w:eastAsia="fr-FR"/>
        </w:rPr>
        <w:t>Le suivi de la mise en œuvre de la collaboration technique entre l’UO et le Millenium Institute en vue d’organiser des cours intensifs sur l’outil de la planification T21 ;</w:t>
      </w:r>
    </w:p>
    <w:p w:rsidR="00F711CD" w:rsidRPr="007436BB" w:rsidRDefault="00F711CD" w:rsidP="00CB7B25">
      <w:pPr>
        <w:pStyle w:val="a8"/>
        <w:numPr>
          <w:ilvl w:val="0"/>
          <w:numId w:val="10"/>
        </w:numPr>
        <w:spacing w:after="0" w:line="23" w:lineRule="atLeast"/>
        <w:jc w:val="both"/>
        <w:rPr>
          <w:rFonts w:ascii="Garamond" w:eastAsiaTheme="minorEastAsia" w:hAnsi="Garamond" w:cs="Times New Roman"/>
          <w:szCs w:val="24"/>
          <w:lang w:eastAsia="fr-FR"/>
        </w:rPr>
      </w:pPr>
      <w:r w:rsidRPr="007436BB">
        <w:rPr>
          <w:rFonts w:ascii="Garamond" w:eastAsiaTheme="minorEastAsia" w:hAnsi="Garamond" w:cs="Times New Roman"/>
          <w:szCs w:val="24"/>
          <w:lang w:eastAsia="fr-FR"/>
        </w:rPr>
        <w:t xml:space="preserve">L’organisation des formations au niveau national/régional/local sur l’utilisation des données climatiques ; </w:t>
      </w:r>
    </w:p>
    <w:p w:rsidR="007436BB" w:rsidRPr="007436BB" w:rsidRDefault="007436BB" w:rsidP="007436BB">
      <w:pPr>
        <w:pStyle w:val="a8"/>
        <w:numPr>
          <w:ilvl w:val="0"/>
          <w:numId w:val="10"/>
        </w:numPr>
        <w:spacing w:after="0" w:line="23" w:lineRule="atLeast"/>
        <w:jc w:val="both"/>
        <w:rPr>
          <w:rFonts w:ascii="Garamond" w:eastAsiaTheme="minorEastAsia" w:hAnsi="Garamond" w:cs="Times New Roman"/>
          <w:szCs w:val="24"/>
          <w:lang w:eastAsia="fr-FR"/>
        </w:rPr>
      </w:pPr>
      <w:r w:rsidRPr="007436BB">
        <w:rPr>
          <w:rFonts w:ascii="Garamond" w:eastAsiaTheme="minorEastAsia" w:hAnsi="Garamond"/>
          <w:szCs w:val="24"/>
          <w:lang w:eastAsia="fr-FR"/>
        </w:rPr>
        <w:t>L’organisation de la mission « collaboration Sud-Sud » en vue d’améliorer la technique de la transmission / exploitation des données climatiques ;</w:t>
      </w:r>
    </w:p>
    <w:p w:rsidR="00F711CD" w:rsidRPr="007436BB" w:rsidRDefault="00F711CD" w:rsidP="00CB7B25">
      <w:pPr>
        <w:pStyle w:val="a8"/>
        <w:numPr>
          <w:ilvl w:val="0"/>
          <w:numId w:val="10"/>
        </w:numPr>
        <w:spacing w:after="0" w:line="23" w:lineRule="atLeast"/>
        <w:jc w:val="both"/>
        <w:rPr>
          <w:rFonts w:ascii="Garamond" w:eastAsiaTheme="minorEastAsia" w:hAnsi="Garamond" w:cs="Times New Roman"/>
          <w:szCs w:val="24"/>
          <w:lang w:eastAsia="fr-FR"/>
        </w:rPr>
      </w:pPr>
      <w:r w:rsidRPr="007436BB">
        <w:rPr>
          <w:rFonts w:ascii="Garamond" w:eastAsiaTheme="minorEastAsia" w:hAnsi="Garamond" w:cs="Times New Roman"/>
          <w:szCs w:val="24"/>
          <w:lang w:eastAsia="fr-FR"/>
        </w:rPr>
        <w:t>La mise en œuvre de plan de renforcement des capacités des Directions en charge des études et de la planification.</w:t>
      </w:r>
    </w:p>
    <w:p w:rsidR="00F711CD" w:rsidRPr="007436BB" w:rsidRDefault="00F711CD" w:rsidP="009D6FDD">
      <w:pPr>
        <w:spacing w:after="0" w:line="23" w:lineRule="atLeast"/>
        <w:contextualSpacing/>
        <w:jc w:val="both"/>
        <w:rPr>
          <w:rFonts w:ascii="Garamond" w:hAnsi="Garamond" w:cs="Times New Roman"/>
          <w:szCs w:val="24"/>
          <w:lang w:eastAsia="fr-FR"/>
        </w:rPr>
      </w:pPr>
    </w:p>
    <w:p w:rsidR="00F711CD" w:rsidRPr="007436BB" w:rsidRDefault="00F711CD" w:rsidP="00F711CD">
      <w:pPr>
        <w:spacing w:after="0" w:line="23" w:lineRule="atLeast"/>
        <w:jc w:val="both"/>
        <w:rPr>
          <w:rFonts w:ascii="Garamond" w:hAnsi="Garamond" w:cs="Times New Roman"/>
          <w:b/>
          <w:szCs w:val="24"/>
          <w:lang w:eastAsia="fr-FR"/>
        </w:rPr>
      </w:pPr>
      <w:r w:rsidRPr="007436BB">
        <w:rPr>
          <w:rFonts w:ascii="Garamond" w:hAnsi="Garamond" w:cs="Times New Roman"/>
          <w:b/>
          <w:szCs w:val="24"/>
          <w:lang w:eastAsia="fr-FR"/>
        </w:rPr>
        <w:t xml:space="preserve">Au niveau de l’activité 2 </w:t>
      </w:r>
    </w:p>
    <w:p w:rsidR="00F711CD" w:rsidRPr="007436BB" w:rsidRDefault="00F711CD" w:rsidP="00CB7B25">
      <w:pPr>
        <w:pStyle w:val="a8"/>
        <w:numPr>
          <w:ilvl w:val="0"/>
          <w:numId w:val="10"/>
        </w:numPr>
        <w:spacing w:after="0" w:line="23" w:lineRule="atLeast"/>
        <w:jc w:val="both"/>
        <w:rPr>
          <w:rFonts w:ascii="Garamond" w:eastAsiaTheme="minorEastAsia" w:hAnsi="Garamond" w:cs="Times New Roman"/>
          <w:szCs w:val="24"/>
          <w:lang w:eastAsia="fr-FR"/>
        </w:rPr>
      </w:pPr>
      <w:r w:rsidRPr="007436BB">
        <w:rPr>
          <w:rFonts w:ascii="Garamond" w:eastAsiaTheme="minorEastAsia" w:hAnsi="Garamond" w:cs="Times New Roman"/>
          <w:szCs w:val="24"/>
          <w:lang w:eastAsia="fr-FR"/>
        </w:rPr>
        <w:t xml:space="preserve">Le suivi de l’exécution du programme avec Oxfam, dans le cadre des activités de l’assurance climatique ; </w:t>
      </w:r>
    </w:p>
    <w:p w:rsidR="00F711CD" w:rsidRPr="007436BB" w:rsidRDefault="00F711CD" w:rsidP="00F97FF7">
      <w:pPr>
        <w:pStyle w:val="a8"/>
        <w:numPr>
          <w:ilvl w:val="0"/>
          <w:numId w:val="10"/>
        </w:numPr>
        <w:spacing w:after="0" w:line="23" w:lineRule="atLeast"/>
        <w:jc w:val="both"/>
        <w:rPr>
          <w:rFonts w:ascii="Garamond" w:eastAsiaTheme="minorEastAsia" w:hAnsi="Garamond" w:cs="Times New Roman"/>
          <w:szCs w:val="24"/>
          <w:lang w:eastAsia="fr-FR"/>
        </w:rPr>
      </w:pPr>
      <w:r w:rsidRPr="007436BB">
        <w:rPr>
          <w:rFonts w:ascii="Garamond" w:eastAsiaTheme="minorEastAsia" w:hAnsi="Garamond" w:cs="Times New Roman"/>
          <w:szCs w:val="24"/>
          <w:lang w:eastAsia="fr-FR"/>
        </w:rPr>
        <w:lastRenderedPageBreak/>
        <w:t>L’organisation d’un voyage d’études afin que l’équipe de projet TICAD V puisse tirer profit des expériences d’autres pays en matière d’assurance climatique ;</w:t>
      </w:r>
    </w:p>
    <w:p w:rsidR="00F711CD" w:rsidRPr="007436BB" w:rsidRDefault="00F711CD" w:rsidP="00F711CD">
      <w:pPr>
        <w:spacing w:after="0" w:line="23" w:lineRule="atLeast"/>
        <w:ind w:left="720"/>
        <w:contextualSpacing/>
        <w:jc w:val="both"/>
        <w:rPr>
          <w:rFonts w:ascii="Garamond" w:hAnsi="Garamond" w:cs="Times New Roman"/>
          <w:szCs w:val="24"/>
          <w:lang w:eastAsia="fr-FR"/>
        </w:rPr>
      </w:pPr>
    </w:p>
    <w:p w:rsidR="00F711CD" w:rsidRPr="007436BB" w:rsidRDefault="00F711CD" w:rsidP="00F711CD">
      <w:pPr>
        <w:spacing w:after="0" w:line="23" w:lineRule="atLeast"/>
        <w:jc w:val="both"/>
        <w:rPr>
          <w:rFonts w:ascii="Garamond" w:hAnsi="Garamond" w:cs="Times New Roman"/>
          <w:b/>
          <w:szCs w:val="24"/>
          <w:lang w:eastAsia="fr-FR"/>
        </w:rPr>
      </w:pPr>
      <w:r w:rsidRPr="007436BB">
        <w:rPr>
          <w:rFonts w:ascii="Garamond" w:hAnsi="Garamond" w:cs="Times New Roman"/>
          <w:b/>
          <w:szCs w:val="24"/>
          <w:lang w:eastAsia="fr-FR"/>
        </w:rPr>
        <w:t>Au niveau de l’activité 3 </w:t>
      </w:r>
    </w:p>
    <w:p w:rsidR="00F711CD" w:rsidRPr="007436BB" w:rsidRDefault="00F711CD" w:rsidP="00F711CD">
      <w:pPr>
        <w:numPr>
          <w:ilvl w:val="0"/>
          <w:numId w:val="1"/>
        </w:numPr>
        <w:spacing w:after="0" w:line="23" w:lineRule="atLeast"/>
        <w:contextualSpacing/>
        <w:jc w:val="both"/>
        <w:rPr>
          <w:rFonts w:ascii="Garamond" w:hAnsi="Garamond" w:cs="Times New Roman"/>
          <w:szCs w:val="24"/>
          <w:lang w:eastAsia="fr-FR"/>
        </w:rPr>
      </w:pPr>
      <w:r w:rsidRPr="007436BB">
        <w:rPr>
          <w:rFonts w:ascii="Garamond" w:hAnsi="Garamond" w:cs="Times New Roman"/>
          <w:szCs w:val="24"/>
          <w:lang w:eastAsia="fr-FR"/>
        </w:rPr>
        <w:t>Le recrutement d’une équipe de consultants en vue de formuler un projet de Fonds d’Adaptation (sécurité alimentaire et CC)</w:t>
      </w:r>
      <w:r w:rsidR="007436BB">
        <w:rPr>
          <w:rFonts w:ascii="Garamond" w:hAnsi="Garamond" w:cs="Times New Roman"/>
          <w:szCs w:val="24"/>
          <w:lang w:eastAsia="fr-FR"/>
        </w:rPr>
        <w:t> ;</w:t>
      </w:r>
      <w:r w:rsidRPr="007436BB">
        <w:rPr>
          <w:rFonts w:ascii="Garamond" w:hAnsi="Garamond" w:cs="Times New Roman"/>
          <w:szCs w:val="24"/>
          <w:lang w:eastAsia="fr-FR"/>
        </w:rPr>
        <w:t xml:space="preserve"> </w:t>
      </w:r>
    </w:p>
    <w:p w:rsidR="007436BB" w:rsidRPr="007436BB" w:rsidRDefault="007436BB" w:rsidP="007436BB">
      <w:pPr>
        <w:numPr>
          <w:ilvl w:val="0"/>
          <w:numId w:val="1"/>
        </w:numPr>
        <w:spacing w:after="0" w:line="23" w:lineRule="atLeast"/>
        <w:contextualSpacing/>
        <w:jc w:val="both"/>
        <w:rPr>
          <w:rFonts w:ascii="Garamond" w:hAnsi="Garamond" w:cs="Times New Roman"/>
          <w:szCs w:val="24"/>
          <w:lang w:eastAsia="fr-FR"/>
        </w:rPr>
      </w:pPr>
      <w:r w:rsidRPr="007436BB">
        <w:rPr>
          <w:rFonts w:ascii="Garamond" w:hAnsi="Garamond" w:cs="Times New Roman"/>
          <w:szCs w:val="24"/>
          <w:lang w:eastAsia="fr-FR"/>
        </w:rPr>
        <w:t xml:space="preserve">La finalisation des activités y relatifs à l’accréditation du MOFA ; </w:t>
      </w:r>
    </w:p>
    <w:p w:rsidR="007436BB" w:rsidRPr="007436BB" w:rsidRDefault="007436BB" w:rsidP="007436BB">
      <w:pPr>
        <w:numPr>
          <w:ilvl w:val="0"/>
          <w:numId w:val="1"/>
        </w:numPr>
        <w:spacing w:after="0" w:line="23" w:lineRule="atLeast"/>
        <w:contextualSpacing/>
        <w:jc w:val="both"/>
        <w:rPr>
          <w:rFonts w:ascii="Garamond" w:hAnsi="Garamond" w:cs="Times New Roman"/>
          <w:szCs w:val="24"/>
          <w:lang w:eastAsia="fr-FR"/>
        </w:rPr>
      </w:pPr>
      <w:r w:rsidRPr="007436BB">
        <w:rPr>
          <w:rFonts w:ascii="Garamond" w:hAnsi="Garamond" w:cs="Times New Roman"/>
          <w:szCs w:val="24"/>
          <w:lang w:eastAsia="fr-FR"/>
        </w:rPr>
        <w:t xml:space="preserve">La validation du PNA au niveau national et la formulation de projets pour sa mise en œuvre.   </w:t>
      </w:r>
    </w:p>
    <w:p w:rsidR="007436BB" w:rsidRPr="007436BB" w:rsidRDefault="007436BB" w:rsidP="00F711CD">
      <w:pPr>
        <w:spacing w:after="0" w:line="23" w:lineRule="atLeast"/>
        <w:jc w:val="both"/>
        <w:rPr>
          <w:rFonts w:ascii="Garamond" w:hAnsi="Garamond" w:cs="Times New Roman"/>
          <w:szCs w:val="24"/>
          <w:lang w:eastAsia="fr-FR"/>
        </w:rPr>
      </w:pPr>
    </w:p>
    <w:p w:rsidR="007436BB" w:rsidRPr="007436BB" w:rsidRDefault="007436BB" w:rsidP="00F711CD">
      <w:pPr>
        <w:spacing w:after="0" w:line="23" w:lineRule="atLeast"/>
        <w:jc w:val="both"/>
        <w:rPr>
          <w:rFonts w:ascii="Garamond" w:hAnsi="Garamond" w:cs="Times New Roman"/>
          <w:b/>
          <w:szCs w:val="24"/>
          <w:lang w:eastAsia="fr-FR"/>
        </w:rPr>
      </w:pPr>
    </w:p>
    <w:p w:rsidR="00F711CD" w:rsidRPr="007436BB" w:rsidRDefault="00F711CD" w:rsidP="00F711CD">
      <w:pPr>
        <w:spacing w:after="0" w:line="23" w:lineRule="atLeast"/>
        <w:jc w:val="both"/>
        <w:rPr>
          <w:rFonts w:ascii="Garamond" w:hAnsi="Garamond" w:cs="Times New Roman"/>
          <w:b/>
          <w:szCs w:val="24"/>
          <w:lang w:eastAsia="fr-FR"/>
        </w:rPr>
      </w:pPr>
      <w:r w:rsidRPr="007436BB">
        <w:rPr>
          <w:rFonts w:ascii="Garamond" w:hAnsi="Garamond" w:cs="Times New Roman"/>
          <w:b/>
          <w:szCs w:val="24"/>
          <w:lang w:eastAsia="fr-FR"/>
        </w:rPr>
        <w:t>Au niveau de l’activité 4 </w:t>
      </w:r>
    </w:p>
    <w:p w:rsidR="0022297F" w:rsidRPr="007436BB" w:rsidRDefault="00F711CD" w:rsidP="00F711CD">
      <w:pPr>
        <w:spacing w:after="0" w:line="23" w:lineRule="atLeast"/>
        <w:jc w:val="both"/>
        <w:rPr>
          <w:rFonts w:ascii="Garamond" w:hAnsi="Garamond" w:cs="Times New Roman"/>
          <w:szCs w:val="24"/>
          <w:lang w:eastAsia="fr-FR"/>
        </w:rPr>
      </w:pPr>
      <w:r w:rsidRPr="007436BB">
        <w:rPr>
          <w:rFonts w:ascii="Garamond" w:hAnsi="Garamond" w:cs="Times New Roman"/>
          <w:szCs w:val="24"/>
          <w:lang w:eastAsia="fr-FR"/>
        </w:rPr>
        <w:t>Le management du projet</w:t>
      </w:r>
    </w:p>
    <w:p w:rsidR="009D6FDD" w:rsidRPr="007436BB" w:rsidRDefault="009D6FDD">
      <w:pPr>
        <w:rPr>
          <w:rFonts w:ascii="Garamond" w:eastAsiaTheme="majorEastAsia" w:hAnsi="Garamond" w:cstheme="majorBidi"/>
          <w:b/>
          <w:bCs/>
          <w:color w:val="365F91" w:themeColor="accent1" w:themeShade="BF"/>
          <w:sz w:val="28"/>
          <w:szCs w:val="28"/>
          <w:lang w:eastAsia="fr-FR"/>
        </w:rPr>
      </w:pPr>
      <w:r w:rsidRPr="007436BB">
        <w:rPr>
          <w:rFonts w:ascii="Garamond" w:eastAsiaTheme="majorEastAsia" w:hAnsi="Garamond" w:cstheme="majorBidi"/>
          <w:b/>
          <w:bCs/>
          <w:color w:val="365F91" w:themeColor="accent1" w:themeShade="BF"/>
          <w:sz w:val="28"/>
          <w:szCs w:val="28"/>
          <w:lang w:eastAsia="fr-FR"/>
        </w:rPr>
        <w:br w:type="page"/>
      </w:r>
    </w:p>
    <w:p w:rsidR="00F711CD" w:rsidRPr="007436BB" w:rsidRDefault="00F711CD" w:rsidP="00F711CD">
      <w:pPr>
        <w:spacing w:after="0" w:line="23" w:lineRule="atLeast"/>
        <w:jc w:val="both"/>
        <w:rPr>
          <w:rFonts w:ascii="Garamond" w:eastAsiaTheme="majorEastAsia" w:hAnsi="Garamond" w:cstheme="majorBidi"/>
          <w:b/>
          <w:bCs/>
          <w:color w:val="365F91" w:themeColor="accent1" w:themeShade="BF"/>
          <w:sz w:val="28"/>
          <w:szCs w:val="28"/>
          <w:lang w:eastAsia="fr-FR"/>
        </w:rPr>
      </w:pPr>
    </w:p>
    <w:p w:rsidR="00F711CD" w:rsidRPr="007436BB" w:rsidRDefault="00F711CD" w:rsidP="009D6FDD">
      <w:pPr>
        <w:keepNext/>
        <w:keepLines/>
        <w:numPr>
          <w:ilvl w:val="0"/>
          <w:numId w:val="4"/>
        </w:numPr>
        <w:spacing w:after="0" w:line="23" w:lineRule="atLeast"/>
        <w:outlineLvl w:val="0"/>
        <w:rPr>
          <w:rFonts w:ascii="Garamond" w:eastAsiaTheme="majorEastAsia" w:hAnsi="Garamond" w:cstheme="majorBidi"/>
          <w:b/>
          <w:bCs/>
          <w:color w:val="365F91" w:themeColor="accent1" w:themeShade="BF"/>
          <w:sz w:val="28"/>
          <w:szCs w:val="28"/>
          <w:lang w:eastAsia="fr-FR"/>
        </w:rPr>
      </w:pPr>
      <w:bookmarkStart w:id="5" w:name="_Toc408615914"/>
      <w:r w:rsidRPr="007436BB">
        <w:rPr>
          <w:rFonts w:ascii="Garamond" w:eastAsiaTheme="majorEastAsia" w:hAnsi="Garamond" w:cstheme="majorBidi"/>
          <w:b/>
          <w:bCs/>
          <w:color w:val="365F91" w:themeColor="accent1" w:themeShade="BF"/>
          <w:sz w:val="28"/>
          <w:szCs w:val="28"/>
          <w:lang w:eastAsia="fr-FR"/>
        </w:rPr>
        <w:t>Bilan financier</w:t>
      </w:r>
      <w:bookmarkEnd w:id="5"/>
      <w:r w:rsidRPr="007436BB">
        <w:rPr>
          <w:rFonts w:ascii="Garamond" w:eastAsiaTheme="majorEastAsia" w:hAnsi="Garamond" w:cstheme="majorBidi"/>
          <w:b/>
          <w:bCs/>
          <w:color w:val="365F91" w:themeColor="accent1" w:themeShade="BF"/>
          <w:sz w:val="28"/>
          <w:szCs w:val="28"/>
          <w:lang w:eastAsia="fr-FR"/>
        </w:rPr>
        <w:t xml:space="preserve"> </w:t>
      </w:r>
    </w:p>
    <w:p w:rsidR="00F711CD" w:rsidRPr="007436BB" w:rsidRDefault="00F711CD" w:rsidP="00F711CD">
      <w:pPr>
        <w:spacing w:after="0" w:line="23" w:lineRule="atLeast"/>
        <w:jc w:val="both"/>
        <w:rPr>
          <w:rFonts w:ascii="Garamond" w:hAnsi="Garamond"/>
          <w:sz w:val="22"/>
          <w:lang w:eastAsia="fr-FR"/>
        </w:rPr>
      </w:pPr>
    </w:p>
    <w:p w:rsidR="00F97FF7" w:rsidRPr="007436BB" w:rsidRDefault="00F97FF7" w:rsidP="00F97FF7">
      <w:pPr>
        <w:spacing w:after="0" w:line="23" w:lineRule="atLeast"/>
        <w:jc w:val="both"/>
        <w:rPr>
          <w:rFonts w:ascii="Garamond" w:hAnsi="Garamond"/>
          <w:sz w:val="22"/>
          <w:lang w:eastAsia="fr-FR"/>
        </w:rPr>
      </w:pPr>
      <w:bookmarkStart w:id="6" w:name="_Toc408615915"/>
      <w:r w:rsidRPr="007436BB">
        <w:rPr>
          <w:rFonts w:ascii="Garamond" w:hAnsi="Garamond"/>
          <w:sz w:val="22"/>
          <w:lang w:eastAsia="fr-FR"/>
        </w:rPr>
        <w:t>Le bilan financier par composante se présente ainsi qu’il suit :</w:t>
      </w:r>
    </w:p>
    <w:p w:rsidR="00F97FF7" w:rsidRPr="007436BB" w:rsidRDefault="00F97FF7" w:rsidP="00F97FF7">
      <w:pPr>
        <w:spacing w:after="0" w:line="23" w:lineRule="atLeast"/>
        <w:jc w:val="both"/>
        <w:rPr>
          <w:rFonts w:ascii="Garamond" w:hAnsi="Garamond"/>
          <w:sz w:val="22"/>
          <w:lang w:eastAsia="fr-FR"/>
        </w:rPr>
      </w:pPr>
    </w:p>
    <w:tbl>
      <w:tblPr>
        <w:tblW w:w="9021" w:type="dxa"/>
        <w:tblInd w:w="-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1"/>
        <w:gridCol w:w="1418"/>
        <w:gridCol w:w="1417"/>
        <w:gridCol w:w="1418"/>
        <w:gridCol w:w="1407"/>
      </w:tblGrid>
      <w:tr w:rsidR="00893025" w:rsidRPr="007436BB" w:rsidTr="00893025">
        <w:trPr>
          <w:trHeight w:val="780"/>
        </w:trPr>
        <w:tc>
          <w:tcPr>
            <w:tcW w:w="3361" w:type="dxa"/>
            <w:tcBorders>
              <w:top w:val="single" w:sz="8" w:space="0" w:color="4F81BD"/>
              <w:left w:val="single" w:sz="8" w:space="0" w:color="4F81BD"/>
              <w:bottom w:val="single" w:sz="12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:rsidR="00893025" w:rsidRPr="007436BB" w:rsidRDefault="00893025" w:rsidP="0097456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436BB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fr-FR"/>
              </w:rPr>
              <w:t>COMPOSANTE</w:t>
            </w:r>
          </w:p>
        </w:tc>
        <w:tc>
          <w:tcPr>
            <w:tcW w:w="1418" w:type="dxa"/>
            <w:tcBorders>
              <w:top w:val="single" w:sz="8" w:space="0" w:color="4F81BD"/>
              <w:left w:val="nil"/>
              <w:bottom w:val="single" w:sz="12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893025" w:rsidRPr="007436BB" w:rsidRDefault="00893025" w:rsidP="0097456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436BB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fr-FR"/>
              </w:rPr>
              <w:t>BUDGET</w:t>
            </w:r>
          </w:p>
        </w:tc>
        <w:tc>
          <w:tcPr>
            <w:tcW w:w="1417" w:type="dxa"/>
            <w:tcBorders>
              <w:top w:val="single" w:sz="8" w:space="0" w:color="4F81BD"/>
              <w:left w:val="nil"/>
              <w:bottom w:val="single" w:sz="12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:rsidR="00893025" w:rsidRPr="007436BB" w:rsidRDefault="00893025" w:rsidP="0097456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436BB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fr-FR"/>
              </w:rPr>
              <w:t>DEPENSES TOTAL</w:t>
            </w:r>
          </w:p>
        </w:tc>
        <w:tc>
          <w:tcPr>
            <w:tcW w:w="1418" w:type="dxa"/>
            <w:tcBorders>
              <w:top w:val="single" w:sz="8" w:space="0" w:color="4F81BD"/>
              <w:left w:val="nil"/>
              <w:bottom w:val="single" w:sz="12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:rsidR="00893025" w:rsidRPr="007436BB" w:rsidRDefault="00893025" w:rsidP="0097456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436BB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fr-FR"/>
              </w:rPr>
              <w:t>SOLDE</w:t>
            </w:r>
          </w:p>
        </w:tc>
        <w:tc>
          <w:tcPr>
            <w:tcW w:w="1407" w:type="dxa"/>
            <w:tcBorders>
              <w:top w:val="single" w:sz="8" w:space="0" w:color="4F81BD"/>
              <w:left w:val="nil"/>
              <w:bottom w:val="single" w:sz="12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:rsidR="00893025" w:rsidRPr="007436BB" w:rsidRDefault="00893025" w:rsidP="0097456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436BB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fr-FR"/>
              </w:rPr>
              <w:t>TAUX DE DELIVERY %</w:t>
            </w:r>
          </w:p>
        </w:tc>
      </w:tr>
      <w:tr w:rsidR="00893025" w:rsidRPr="007436BB" w:rsidTr="00893025">
        <w:trPr>
          <w:trHeight w:val="1290"/>
        </w:trPr>
        <w:tc>
          <w:tcPr>
            <w:tcW w:w="3361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D3DFEE"/>
            <w:vAlign w:val="center"/>
            <w:hideMark/>
          </w:tcPr>
          <w:p w:rsidR="00893025" w:rsidRPr="007436BB" w:rsidRDefault="00893025" w:rsidP="00974567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436BB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1 Le système de partage et de l’utilisation des données climatiques sont renforcé dans le processus de la prise de décision ainsi que la planification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</w:tcPr>
          <w:p w:rsidR="00893025" w:rsidRPr="007436BB" w:rsidRDefault="00893025" w:rsidP="00974567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fr-FR"/>
              </w:rPr>
              <w:t>171970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</w:tcPr>
          <w:p w:rsidR="00893025" w:rsidRPr="007436BB" w:rsidRDefault="00893025" w:rsidP="00974567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Garamond" w:eastAsia="Times New Roman" w:hAnsi="Garamond" w:cs="Calibri" w:hint="eastAsia"/>
                <w:b/>
                <w:bCs/>
                <w:color w:val="000000"/>
                <w:sz w:val="20"/>
                <w:szCs w:val="20"/>
                <w:lang w:eastAsia="fr-FR"/>
              </w:rPr>
              <w:t>78094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</w:tcPr>
          <w:p w:rsidR="00893025" w:rsidRPr="007436BB" w:rsidRDefault="00893025" w:rsidP="00974567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Garamond" w:eastAsia="Times New Roman" w:hAnsi="Garamond" w:cs="Calibri" w:hint="eastAsia"/>
                <w:b/>
                <w:bCs/>
                <w:color w:val="000000"/>
                <w:sz w:val="20"/>
                <w:szCs w:val="20"/>
                <w:lang w:eastAsia="fr-FR"/>
              </w:rPr>
              <w:t>93876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</w:tcPr>
          <w:p w:rsidR="00893025" w:rsidRPr="007436BB" w:rsidRDefault="00893025" w:rsidP="00974567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Garamond" w:eastAsia="Times New Roman" w:hAnsi="Garamond" w:cs="Calibri" w:hint="eastAsia"/>
                <w:b/>
                <w:bCs/>
                <w:color w:val="000000"/>
                <w:sz w:val="20"/>
                <w:szCs w:val="20"/>
                <w:lang w:eastAsia="fr-FR"/>
              </w:rPr>
              <w:t>45</w:t>
            </w:r>
          </w:p>
        </w:tc>
      </w:tr>
      <w:tr w:rsidR="00893025" w:rsidRPr="007436BB" w:rsidTr="00893025">
        <w:trPr>
          <w:trHeight w:val="960"/>
        </w:trPr>
        <w:tc>
          <w:tcPr>
            <w:tcW w:w="3361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:rsidR="00893025" w:rsidRPr="007436BB" w:rsidRDefault="00893025" w:rsidP="00974567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436BB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2 </w:t>
            </w:r>
            <w:r w:rsidRPr="007436BB">
              <w:rPr>
                <w:rFonts w:ascii="Garamond" w:hAnsi="Garamond"/>
                <w:b/>
                <w:sz w:val="20"/>
                <w:szCs w:val="20"/>
                <w:lang w:eastAsia="fr-FR"/>
              </w:rPr>
              <w:t>Les différents indices climatiques sont identifiés et testés afin de mieux gérer les risques liés aux changements climatiques</w:t>
            </w:r>
            <w:r w:rsidRPr="007436BB">
              <w:rPr>
                <w:rFonts w:ascii="Garamond" w:hAnsi="Garamond"/>
                <w:sz w:val="20"/>
                <w:szCs w:val="20"/>
                <w:lang w:eastAsia="fr-FR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893025" w:rsidRPr="007436BB" w:rsidRDefault="00893025" w:rsidP="00974567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Garamond" w:eastAsia="Times New Roman" w:hAnsi="Garamond" w:cs="Calibri" w:hint="eastAsia"/>
                <w:b/>
                <w:bCs/>
                <w:color w:val="000000"/>
                <w:sz w:val="20"/>
                <w:szCs w:val="20"/>
                <w:lang w:eastAsia="fr-FR"/>
              </w:rPr>
              <w:t>159500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893025" w:rsidRPr="007436BB" w:rsidRDefault="00893025" w:rsidP="00974567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Garamond" w:eastAsia="Times New Roman" w:hAnsi="Garamond" w:cs="Calibri" w:hint="eastAsia"/>
                <w:b/>
                <w:bCs/>
                <w:color w:val="000000"/>
                <w:sz w:val="20"/>
                <w:szCs w:val="20"/>
                <w:lang w:eastAsia="fr-FR"/>
              </w:rPr>
              <w:t>20628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893025" w:rsidRPr="007436BB" w:rsidRDefault="00893025" w:rsidP="00974567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Garamond" w:eastAsia="Times New Roman" w:hAnsi="Garamond" w:cs="Calibri" w:hint="eastAsia"/>
                <w:b/>
                <w:bCs/>
                <w:color w:val="000000"/>
                <w:sz w:val="20"/>
                <w:szCs w:val="20"/>
                <w:lang w:eastAsia="fr-FR"/>
              </w:rPr>
              <w:t>138872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893025" w:rsidRPr="007436BB" w:rsidRDefault="00893025" w:rsidP="00974567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Garamond" w:eastAsia="Times New Roman" w:hAnsi="Garamond" w:cs="Calibri" w:hint="eastAsia"/>
                <w:b/>
                <w:bCs/>
                <w:color w:val="000000"/>
                <w:sz w:val="20"/>
                <w:szCs w:val="20"/>
                <w:lang w:eastAsia="fr-FR"/>
              </w:rPr>
              <w:t>13</w:t>
            </w:r>
          </w:p>
        </w:tc>
      </w:tr>
      <w:tr w:rsidR="00893025" w:rsidRPr="007436BB" w:rsidTr="00893025">
        <w:trPr>
          <w:trHeight w:val="1314"/>
        </w:trPr>
        <w:tc>
          <w:tcPr>
            <w:tcW w:w="3361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D3DFEE"/>
            <w:vAlign w:val="center"/>
            <w:hideMark/>
          </w:tcPr>
          <w:p w:rsidR="00893025" w:rsidRPr="007436BB" w:rsidRDefault="00893025" w:rsidP="00974567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436BB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3 </w:t>
            </w:r>
            <w:r w:rsidRPr="007436BB">
              <w:rPr>
                <w:rFonts w:ascii="Garamond" w:hAnsi="Garamond"/>
                <w:b/>
                <w:sz w:val="20"/>
                <w:szCs w:val="20"/>
                <w:lang w:eastAsia="fr-FR"/>
              </w:rPr>
              <w:t>Accès aux financements en matière d’adaptation aux changements climatiques</w:t>
            </w:r>
            <w:r w:rsidRPr="007436BB">
              <w:rPr>
                <w:rFonts w:ascii="Garamond" w:hAnsi="Garamond"/>
                <w:sz w:val="20"/>
                <w:szCs w:val="20"/>
                <w:lang w:eastAsia="fr-FR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</w:tcPr>
          <w:p w:rsidR="00893025" w:rsidRPr="007436BB" w:rsidRDefault="00893025" w:rsidP="00974567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Garamond" w:eastAsia="Times New Roman" w:hAnsi="Garamond" w:cs="Calibri" w:hint="eastAsia"/>
                <w:b/>
                <w:bCs/>
                <w:color w:val="000000"/>
                <w:sz w:val="20"/>
                <w:szCs w:val="20"/>
                <w:lang w:eastAsia="fr-FR"/>
              </w:rPr>
              <w:t>155</w:t>
            </w:r>
            <w:r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fr-FR"/>
              </w:rPr>
              <w:t>891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</w:tcPr>
          <w:p w:rsidR="00893025" w:rsidRPr="007436BB" w:rsidRDefault="00893025" w:rsidP="00974567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Garamond" w:eastAsia="Times New Roman" w:hAnsi="Garamond" w:cs="Calibri" w:hint="eastAsia"/>
                <w:b/>
                <w:bCs/>
                <w:color w:val="000000"/>
                <w:sz w:val="20"/>
                <w:szCs w:val="20"/>
                <w:lang w:eastAsia="fr-FR"/>
              </w:rPr>
              <w:t>108347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</w:tcPr>
          <w:p w:rsidR="00893025" w:rsidRPr="007436BB" w:rsidRDefault="00893025" w:rsidP="00974567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Garamond" w:eastAsia="Times New Roman" w:hAnsi="Garamond" w:cs="Calibri" w:hint="eastAsia"/>
                <w:b/>
                <w:bCs/>
                <w:color w:val="000000"/>
                <w:sz w:val="20"/>
                <w:szCs w:val="20"/>
                <w:lang w:eastAsia="fr-FR"/>
              </w:rPr>
              <w:t>47544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</w:tcPr>
          <w:p w:rsidR="00893025" w:rsidRPr="007436BB" w:rsidRDefault="00893025" w:rsidP="00974567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Garamond" w:eastAsia="Times New Roman" w:hAnsi="Garamond" w:cs="Calibri" w:hint="eastAsia"/>
                <w:b/>
                <w:bCs/>
                <w:color w:val="000000"/>
                <w:sz w:val="20"/>
                <w:szCs w:val="20"/>
                <w:lang w:eastAsia="fr-FR"/>
              </w:rPr>
              <w:t>70</w:t>
            </w:r>
          </w:p>
        </w:tc>
      </w:tr>
      <w:tr w:rsidR="00893025" w:rsidRPr="007436BB" w:rsidTr="00893025">
        <w:trPr>
          <w:trHeight w:val="720"/>
        </w:trPr>
        <w:tc>
          <w:tcPr>
            <w:tcW w:w="3361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:rsidR="00893025" w:rsidRPr="007436BB" w:rsidRDefault="00893025" w:rsidP="00974567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436BB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4 </w:t>
            </w:r>
            <w:r w:rsidRPr="007436BB">
              <w:rPr>
                <w:rFonts w:ascii="Garamond" w:hAnsi="Garamond"/>
                <w:b/>
                <w:color w:val="000000"/>
                <w:sz w:val="20"/>
                <w:szCs w:val="20"/>
                <w:lang w:eastAsia="fr-FR"/>
              </w:rPr>
              <w:t>Management du programme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893025" w:rsidRPr="007436BB" w:rsidRDefault="00893025" w:rsidP="00974567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Garamond" w:eastAsia="Times New Roman" w:hAnsi="Garamond" w:cs="Calibri" w:hint="eastAsia"/>
                <w:b/>
                <w:bCs/>
                <w:color w:val="000000"/>
                <w:sz w:val="20"/>
                <w:szCs w:val="20"/>
                <w:lang w:eastAsia="fr-FR"/>
              </w:rPr>
              <w:t>94148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893025" w:rsidRPr="007436BB" w:rsidRDefault="00893025" w:rsidP="00974567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Garamond" w:eastAsia="Times New Roman" w:hAnsi="Garamond" w:cs="Calibri" w:hint="eastAsia"/>
                <w:b/>
                <w:bCs/>
                <w:color w:val="000000"/>
                <w:sz w:val="20"/>
                <w:szCs w:val="20"/>
                <w:lang w:eastAsia="fr-FR"/>
              </w:rPr>
              <w:t>78088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893025" w:rsidRPr="007436BB" w:rsidRDefault="00893025" w:rsidP="00974567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Garamond" w:eastAsia="Times New Roman" w:hAnsi="Garamond" w:cs="Calibri" w:hint="eastAsia"/>
                <w:b/>
                <w:bCs/>
                <w:color w:val="000000"/>
                <w:sz w:val="20"/>
                <w:szCs w:val="20"/>
                <w:lang w:eastAsia="fr-FR"/>
              </w:rPr>
              <w:t>16060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893025" w:rsidRPr="007436BB" w:rsidRDefault="00893025" w:rsidP="00974567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Garamond" w:eastAsia="Times New Roman" w:hAnsi="Garamond" w:cs="Calibri" w:hint="eastAsia"/>
                <w:b/>
                <w:bCs/>
                <w:color w:val="000000"/>
                <w:sz w:val="20"/>
                <w:szCs w:val="20"/>
                <w:lang w:eastAsia="fr-FR"/>
              </w:rPr>
              <w:t>82</w:t>
            </w:r>
          </w:p>
        </w:tc>
      </w:tr>
      <w:tr w:rsidR="00893025" w:rsidRPr="007436BB" w:rsidTr="00893025">
        <w:trPr>
          <w:trHeight w:val="675"/>
        </w:trPr>
        <w:tc>
          <w:tcPr>
            <w:tcW w:w="3361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D3DFEE"/>
            <w:vAlign w:val="center"/>
            <w:hideMark/>
          </w:tcPr>
          <w:p w:rsidR="00893025" w:rsidRPr="007436BB" w:rsidRDefault="00893025" w:rsidP="0097456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436BB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</w:tcPr>
          <w:p w:rsidR="00893025" w:rsidRPr="007436BB" w:rsidRDefault="00893025" w:rsidP="00974567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Garamond" w:eastAsia="Times New Roman" w:hAnsi="Garamond" w:cs="Calibri" w:hint="eastAsia"/>
                <w:b/>
                <w:bCs/>
                <w:color w:val="000000"/>
                <w:sz w:val="20"/>
                <w:szCs w:val="20"/>
                <w:lang w:eastAsia="fr-FR"/>
              </w:rPr>
              <w:t>581509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</w:tcPr>
          <w:p w:rsidR="00893025" w:rsidRPr="007436BB" w:rsidRDefault="00893025" w:rsidP="00974567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Garamond" w:eastAsia="Times New Roman" w:hAnsi="Garamond" w:cs="Calibri" w:hint="eastAsia"/>
                <w:b/>
                <w:bCs/>
                <w:color w:val="000000"/>
                <w:sz w:val="20"/>
                <w:szCs w:val="20"/>
                <w:lang w:eastAsia="fr-FR"/>
              </w:rPr>
              <w:t>28</w:t>
            </w:r>
            <w:r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fr-FR"/>
              </w:rPr>
              <w:t>5157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</w:tcPr>
          <w:p w:rsidR="00893025" w:rsidRPr="007436BB" w:rsidRDefault="00893025" w:rsidP="00974567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Garamond" w:eastAsia="Times New Roman" w:hAnsi="Garamond" w:cs="Calibri" w:hint="eastAsia"/>
                <w:b/>
                <w:bCs/>
                <w:color w:val="000000"/>
                <w:sz w:val="20"/>
                <w:szCs w:val="20"/>
                <w:lang w:eastAsia="fr-FR"/>
              </w:rPr>
              <w:t>296352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</w:tcPr>
          <w:p w:rsidR="00893025" w:rsidRPr="007436BB" w:rsidRDefault="00893025" w:rsidP="00974567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Garamond" w:eastAsia="Times New Roman" w:hAnsi="Garamond" w:cs="Calibri" w:hint="eastAsia"/>
                <w:b/>
                <w:bCs/>
                <w:color w:val="000000"/>
                <w:sz w:val="20"/>
                <w:szCs w:val="20"/>
                <w:lang w:eastAsia="fr-FR"/>
              </w:rPr>
              <w:t>49</w:t>
            </w:r>
          </w:p>
        </w:tc>
      </w:tr>
    </w:tbl>
    <w:p w:rsidR="00F97FF7" w:rsidRPr="007436BB" w:rsidRDefault="00F97FF7" w:rsidP="00F97FF7">
      <w:pPr>
        <w:spacing w:after="0" w:line="23" w:lineRule="atLeast"/>
        <w:ind w:left="720"/>
        <w:contextualSpacing/>
        <w:jc w:val="both"/>
        <w:rPr>
          <w:rFonts w:ascii="Garamond" w:hAnsi="Garamond"/>
          <w:sz w:val="22"/>
          <w:lang w:eastAsia="fr-FR"/>
        </w:rPr>
      </w:pPr>
    </w:p>
    <w:p w:rsidR="00F97FF7" w:rsidRPr="007436BB" w:rsidRDefault="00F97FF7" w:rsidP="00F97FF7">
      <w:pPr>
        <w:spacing w:after="0" w:line="23" w:lineRule="atLeast"/>
        <w:ind w:left="720"/>
        <w:contextualSpacing/>
        <w:jc w:val="both"/>
        <w:rPr>
          <w:rFonts w:ascii="Garamond" w:hAnsi="Garamond" w:cs="Times New Roman"/>
          <w:szCs w:val="24"/>
          <w:lang w:eastAsia="fr-FR"/>
        </w:rPr>
      </w:pPr>
    </w:p>
    <w:p w:rsidR="00F711CD" w:rsidRPr="007436BB" w:rsidRDefault="00F711CD" w:rsidP="00F711CD">
      <w:pPr>
        <w:keepNext/>
        <w:keepLines/>
        <w:spacing w:after="0" w:line="23" w:lineRule="atLeast"/>
        <w:outlineLvl w:val="0"/>
        <w:rPr>
          <w:rFonts w:ascii="Garamond" w:eastAsiaTheme="majorEastAsia" w:hAnsi="Garamond" w:cs="Times New Roman"/>
          <w:b/>
          <w:bCs/>
          <w:color w:val="365F91" w:themeColor="accent1" w:themeShade="BF"/>
          <w:szCs w:val="24"/>
          <w:lang w:eastAsia="fr-FR"/>
        </w:rPr>
      </w:pPr>
      <w:r w:rsidRPr="007436BB">
        <w:rPr>
          <w:rFonts w:ascii="Garamond" w:eastAsiaTheme="majorEastAsia" w:hAnsi="Garamond" w:cs="Times New Roman"/>
          <w:b/>
          <w:bCs/>
          <w:color w:val="365F91" w:themeColor="accent1" w:themeShade="BF"/>
          <w:szCs w:val="24"/>
          <w:lang w:eastAsia="fr-FR"/>
        </w:rPr>
        <w:t>Conclusion</w:t>
      </w:r>
      <w:bookmarkEnd w:id="6"/>
      <w:r w:rsidRPr="007436BB">
        <w:rPr>
          <w:rFonts w:ascii="Garamond" w:eastAsiaTheme="majorEastAsia" w:hAnsi="Garamond" w:cs="Times New Roman"/>
          <w:b/>
          <w:bCs/>
          <w:color w:val="365F91" w:themeColor="accent1" w:themeShade="BF"/>
          <w:szCs w:val="24"/>
          <w:lang w:eastAsia="fr-FR"/>
        </w:rPr>
        <w:t xml:space="preserve"> </w:t>
      </w:r>
      <w:bookmarkStart w:id="7" w:name="_GoBack"/>
      <w:bookmarkEnd w:id="7"/>
    </w:p>
    <w:p w:rsidR="00F711CD" w:rsidRPr="007436BB" w:rsidRDefault="00F711CD" w:rsidP="00F711CD">
      <w:pPr>
        <w:spacing w:after="0" w:line="23" w:lineRule="atLeast"/>
        <w:jc w:val="both"/>
        <w:rPr>
          <w:rFonts w:ascii="Garamond" w:hAnsi="Garamond" w:cs="Times New Roman"/>
          <w:szCs w:val="24"/>
          <w:lang w:eastAsia="fr-FR"/>
        </w:rPr>
      </w:pPr>
    </w:p>
    <w:p w:rsidR="00F711CD" w:rsidRPr="007436BB" w:rsidRDefault="00F711CD" w:rsidP="00F711CD">
      <w:pPr>
        <w:spacing w:after="0" w:line="23" w:lineRule="atLeast"/>
        <w:jc w:val="both"/>
        <w:rPr>
          <w:rFonts w:ascii="Garamond" w:hAnsi="Garamond" w:cs="Times New Roman"/>
          <w:szCs w:val="24"/>
          <w:lang w:eastAsia="fr-FR"/>
        </w:rPr>
      </w:pPr>
      <w:r w:rsidRPr="007436BB">
        <w:rPr>
          <w:rFonts w:ascii="Garamond" w:hAnsi="Garamond" w:cs="Times New Roman"/>
          <w:szCs w:val="24"/>
          <w:lang w:eastAsia="fr-FR"/>
        </w:rPr>
        <w:t xml:space="preserve">La mise en œuvre du projet repose </w:t>
      </w:r>
      <w:r w:rsidR="00187E66" w:rsidRPr="007436BB">
        <w:rPr>
          <w:rFonts w:ascii="Garamond" w:hAnsi="Garamond" w:cs="Times New Roman"/>
          <w:szCs w:val="24"/>
          <w:lang w:eastAsia="fr-FR"/>
        </w:rPr>
        <w:t xml:space="preserve">entre autres </w:t>
      </w:r>
      <w:r w:rsidRPr="007436BB">
        <w:rPr>
          <w:rFonts w:ascii="Garamond" w:hAnsi="Garamond" w:cs="Times New Roman"/>
          <w:szCs w:val="24"/>
          <w:lang w:eastAsia="fr-FR"/>
        </w:rPr>
        <w:t xml:space="preserve">sur </w:t>
      </w:r>
      <w:r w:rsidR="00187E66" w:rsidRPr="007436BB">
        <w:rPr>
          <w:rFonts w:ascii="Garamond" w:hAnsi="Garamond" w:cs="Times New Roman"/>
          <w:szCs w:val="24"/>
          <w:lang w:eastAsia="fr-FR"/>
        </w:rPr>
        <w:t xml:space="preserve">des acteurs externes au projet, qui n’ont pas toujours été disponibles. </w:t>
      </w:r>
      <w:r w:rsidRPr="007436BB">
        <w:rPr>
          <w:rFonts w:ascii="Garamond" w:hAnsi="Garamond" w:cs="Times New Roman"/>
          <w:szCs w:val="24"/>
          <w:lang w:eastAsia="fr-FR"/>
        </w:rPr>
        <w:t>Cependant, l’espoir de réaliser toutes les activités dans le temps imparti est permis et ce, grâce au consensus obtenu autour des différentes feuilles de route</w:t>
      </w:r>
      <w:r w:rsidR="00FB08B7" w:rsidRPr="007436BB">
        <w:rPr>
          <w:rFonts w:ascii="Garamond" w:hAnsi="Garamond" w:cs="Times New Roman"/>
          <w:szCs w:val="24"/>
          <w:lang w:eastAsia="fr-FR"/>
        </w:rPr>
        <w:t xml:space="preserve"> qui sont en train d’être mise</w:t>
      </w:r>
      <w:r w:rsidR="00FB3A95" w:rsidRPr="007436BB">
        <w:rPr>
          <w:rFonts w:ascii="Garamond" w:hAnsi="Garamond" w:cs="Times New Roman"/>
          <w:szCs w:val="24"/>
          <w:lang w:eastAsia="fr-FR"/>
        </w:rPr>
        <w:t>s</w:t>
      </w:r>
      <w:r w:rsidR="00FB08B7" w:rsidRPr="007436BB">
        <w:rPr>
          <w:rFonts w:ascii="Garamond" w:hAnsi="Garamond" w:cs="Times New Roman"/>
          <w:szCs w:val="24"/>
          <w:lang w:eastAsia="fr-FR"/>
        </w:rPr>
        <w:t xml:space="preserve"> en œuvre</w:t>
      </w:r>
      <w:r w:rsidRPr="007436BB">
        <w:rPr>
          <w:rFonts w:ascii="Garamond" w:hAnsi="Garamond" w:cs="Times New Roman"/>
          <w:szCs w:val="24"/>
          <w:lang w:eastAsia="fr-FR"/>
        </w:rPr>
        <w:t xml:space="preserve">. </w:t>
      </w:r>
    </w:p>
    <w:p w:rsidR="004408D4" w:rsidRPr="007436BB" w:rsidRDefault="004408D4" w:rsidP="004408D4">
      <w:pPr>
        <w:rPr>
          <w:rFonts w:ascii="Garamond" w:hAnsi="Garamond" w:cs="Times New Roman"/>
          <w:color w:val="548DD4" w:themeColor="text2" w:themeTint="99"/>
          <w:szCs w:val="24"/>
        </w:rPr>
      </w:pPr>
    </w:p>
    <w:sectPr w:rsidR="004408D4" w:rsidRPr="007436BB" w:rsidSect="007B1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rlin Sans FB Demi">
    <w:altName w:val="Candara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05FB0"/>
    <w:multiLevelType w:val="hybridMultilevel"/>
    <w:tmpl w:val="5FCA2B3E"/>
    <w:lvl w:ilvl="0" w:tplc="C68211BA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95D6D"/>
    <w:multiLevelType w:val="hybridMultilevel"/>
    <w:tmpl w:val="D038A77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DE84AC0"/>
    <w:multiLevelType w:val="hybridMultilevel"/>
    <w:tmpl w:val="F4FC203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56477B9"/>
    <w:multiLevelType w:val="hybridMultilevel"/>
    <w:tmpl w:val="839A2798"/>
    <w:lvl w:ilvl="0" w:tplc="8A6A9116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F097782"/>
    <w:multiLevelType w:val="hybridMultilevel"/>
    <w:tmpl w:val="F3A8FD8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AB261AF"/>
    <w:multiLevelType w:val="hybridMultilevel"/>
    <w:tmpl w:val="0D8AD41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AC5DF5"/>
    <w:multiLevelType w:val="hybridMultilevel"/>
    <w:tmpl w:val="8D64A67C"/>
    <w:lvl w:ilvl="0" w:tplc="6E4856F6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8" w:hanging="420"/>
      </w:pPr>
    </w:lvl>
    <w:lvl w:ilvl="3" w:tplc="0409000F" w:tentative="1">
      <w:start w:val="1"/>
      <w:numFmt w:val="decimal"/>
      <w:lvlText w:val="%4."/>
      <w:lvlJc w:val="left"/>
      <w:pPr>
        <w:ind w:left="1728" w:hanging="420"/>
      </w:pPr>
    </w:lvl>
    <w:lvl w:ilvl="4" w:tplc="04090017" w:tentative="1">
      <w:start w:val="1"/>
      <w:numFmt w:val="aiueoFullWidth"/>
      <w:lvlText w:val="(%5)"/>
      <w:lvlJc w:val="left"/>
      <w:pPr>
        <w:ind w:left="21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8" w:hanging="420"/>
      </w:pPr>
    </w:lvl>
    <w:lvl w:ilvl="6" w:tplc="0409000F" w:tentative="1">
      <w:start w:val="1"/>
      <w:numFmt w:val="decimal"/>
      <w:lvlText w:val="%7."/>
      <w:lvlJc w:val="left"/>
      <w:pPr>
        <w:ind w:left="2988" w:hanging="420"/>
      </w:pPr>
    </w:lvl>
    <w:lvl w:ilvl="7" w:tplc="04090017" w:tentative="1">
      <w:start w:val="1"/>
      <w:numFmt w:val="aiueoFullWidth"/>
      <w:lvlText w:val="(%8)"/>
      <w:lvlJc w:val="left"/>
      <w:pPr>
        <w:ind w:left="340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8" w:hanging="420"/>
      </w:pPr>
    </w:lvl>
  </w:abstractNum>
  <w:abstractNum w:abstractNumId="7">
    <w:nsid w:val="5CF737CE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4C0383F"/>
    <w:multiLevelType w:val="hybridMultilevel"/>
    <w:tmpl w:val="4BA0A92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7D1CC4"/>
    <w:multiLevelType w:val="hybridMultilevel"/>
    <w:tmpl w:val="829CFE3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706699F"/>
    <w:multiLevelType w:val="hybridMultilevel"/>
    <w:tmpl w:val="6AB8B2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665319"/>
    <w:multiLevelType w:val="hybridMultilevel"/>
    <w:tmpl w:val="4CC455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1"/>
  </w:num>
  <w:num w:numId="10">
    <w:abstractNumId w:val="9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8D4"/>
    <w:rsid w:val="001208D8"/>
    <w:rsid w:val="001546C5"/>
    <w:rsid w:val="00187E66"/>
    <w:rsid w:val="001D058B"/>
    <w:rsid w:val="001E45E7"/>
    <w:rsid w:val="0022297F"/>
    <w:rsid w:val="002C2C4E"/>
    <w:rsid w:val="003502F8"/>
    <w:rsid w:val="00356375"/>
    <w:rsid w:val="0039364F"/>
    <w:rsid w:val="003973DB"/>
    <w:rsid w:val="004408D4"/>
    <w:rsid w:val="0050018B"/>
    <w:rsid w:val="00584425"/>
    <w:rsid w:val="005849E1"/>
    <w:rsid w:val="005A1295"/>
    <w:rsid w:val="006219EF"/>
    <w:rsid w:val="006C7C65"/>
    <w:rsid w:val="00736742"/>
    <w:rsid w:val="007436BB"/>
    <w:rsid w:val="007A2586"/>
    <w:rsid w:val="007B18DB"/>
    <w:rsid w:val="007C68CA"/>
    <w:rsid w:val="008367AC"/>
    <w:rsid w:val="0084215A"/>
    <w:rsid w:val="00893025"/>
    <w:rsid w:val="008C6C25"/>
    <w:rsid w:val="009D17E1"/>
    <w:rsid w:val="009D6FDD"/>
    <w:rsid w:val="009F6640"/>
    <w:rsid w:val="00A77552"/>
    <w:rsid w:val="00A9508A"/>
    <w:rsid w:val="00BA734C"/>
    <w:rsid w:val="00BF5C2F"/>
    <w:rsid w:val="00C94A6F"/>
    <w:rsid w:val="00CB7B25"/>
    <w:rsid w:val="00CC3170"/>
    <w:rsid w:val="00D00A49"/>
    <w:rsid w:val="00D101B4"/>
    <w:rsid w:val="00D3610B"/>
    <w:rsid w:val="00E30EF9"/>
    <w:rsid w:val="00E357C5"/>
    <w:rsid w:val="00EB6350"/>
    <w:rsid w:val="00F654BB"/>
    <w:rsid w:val="00F711CD"/>
    <w:rsid w:val="00F97FF7"/>
    <w:rsid w:val="00FB08B7"/>
    <w:rsid w:val="00FB3A95"/>
    <w:rsid w:val="00FC3F1E"/>
    <w:rsid w:val="00FD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;"/>
  <w15:docId w15:val="{D0450F96-2A68-4C56-BB7F-284BA65E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8D4"/>
    <w:rPr>
      <w:rFonts w:ascii="Arial" w:hAnsi="Arial"/>
      <w:sz w:val="24"/>
    </w:rPr>
  </w:style>
  <w:style w:type="paragraph" w:styleId="1">
    <w:name w:val="heading 1"/>
    <w:basedOn w:val="a"/>
    <w:next w:val="a"/>
    <w:link w:val="10"/>
    <w:uiPriority w:val="9"/>
    <w:qFormat/>
    <w:rsid w:val="00440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40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semiHidden/>
    <w:unhideWhenUsed/>
    <w:qFormat/>
    <w:rsid w:val="004408D4"/>
    <w:pPr>
      <w:outlineLvl w:val="9"/>
    </w:pPr>
    <w:rPr>
      <w:lang w:eastAsia="fr-FR"/>
    </w:rPr>
  </w:style>
  <w:style w:type="paragraph" w:styleId="11">
    <w:name w:val="toc 1"/>
    <w:basedOn w:val="a"/>
    <w:next w:val="a"/>
    <w:autoRedefine/>
    <w:uiPriority w:val="39"/>
    <w:unhideWhenUsed/>
    <w:rsid w:val="004408D4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4408D4"/>
    <w:pPr>
      <w:spacing w:after="100"/>
      <w:ind w:left="240"/>
    </w:pPr>
  </w:style>
  <w:style w:type="character" w:styleId="a4">
    <w:name w:val="Hyperlink"/>
    <w:basedOn w:val="a0"/>
    <w:uiPriority w:val="99"/>
    <w:unhideWhenUsed/>
    <w:rsid w:val="004408D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40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吹き出し (文字)"/>
    <w:basedOn w:val="a0"/>
    <w:link w:val="a5"/>
    <w:uiPriority w:val="99"/>
    <w:semiHidden/>
    <w:rsid w:val="004408D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711CD"/>
    <w:pPr>
      <w:spacing w:after="0" w:line="240" w:lineRule="auto"/>
    </w:pPr>
    <w:rPr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Lapis Bulleted List"/>
    <w:basedOn w:val="a"/>
    <w:link w:val="a9"/>
    <w:uiPriority w:val="34"/>
    <w:qFormat/>
    <w:rsid w:val="001546C5"/>
    <w:pPr>
      <w:ind w:left="720"/>
      <w:contextualSpacing/>
    </w:pPr>
    <w:rPr>
      <w:rFonts w:eastAsia="Times New Roman" w:cs="Arial"/>
    </w:rPr>
  </w:style>
  <w:style w:type="character" w:customStyle="1" w:styleId="a9">
    <w:name w:val="リスト段落 (文字)"/>
    <w:aliases w:val="Lapis Bulleted List (文字)"/>
    <w:link w:val="a8"/>
    <w:uiPriority w:val="34"/>
    <w:locked/>
    <w:rsid w:val="001546C5"/>
    <w:rPr>
      <w:rFonts w:ascii="Arial" w:eastAsia="Times New Roman" w:hAnsi="Arial" w:cs="Arial"/>
      <w:sz w:val="24"/>
    </w:rPr>
  </w:style>
  <w:style w:type="table" w:styleId="3">
    <w:name w:val="Light Grid Accent 1"/>
    <w:basedOn w:val="a1"/>
    <w:uiPriority w:val="62"/>
    <w:rsid w:val="001546C5"/>
    <w:pPr>
      <w:spacing w:after="0" w:line="240" w:lineRule="auto"/>
    </w:pPr>
    <w:rPr>
      <w:rFonts w:ascii="Arial" w:hAnsi="Arial"/>
      <w:sz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DPDocumentCategoryTaxHTField0 xmlns="1ed4137b-41b2-488b-8250-6d369ec27664">
      <Terms xmlns="http://schemas.microsoft.com/office/infopath/2007/PartnerControls"/>
    </UNDPDocumentCategoryTaxHTField0>
    <b6db62fdefd74bd188b0c1cc54de5bcf xmlns="1ed4137b-41b2-488b-8250-6d369ec27664">
      <Terms xmlns="http://schemas.microsoft.com/office/infopath/2007/PartnerControls"/>
    </b6db62fdefd74bd188b0c1cc54de5bcf>
    <UndpDocFormat xmlns="1ed4137b-41b2-488b-8250-6d369ec27664" xsi:nil="true"/>
    <UNDPPublishedDate xmlns="f1161f5b-24a3-4c2d-bc81-44cb9325e8ee">2015-08-17T16:00:00+00:00</UNDPPublishedDate>
    <UNDPCountryTaxHTField0 xmlns="1ed4137b-41b2-488b-8250-6d369ec27664">
      <Terms xmlns="http://schemas.microsoft.com/office/infopath/2007/PartnerControls"/>
    </UNDPCountryTaxHTField0>
    <UndpOUCode xmlns="1ed4137b-41b2-488b-8250-6d369ec27664">BFA</UndpOUCode>
    <PDC_x0020_Document_x0020_Category xmlns="f1161f5b-24a3-4c2d-bc81-44cb9325e8ee">Project</PDC_x0020_Document_x0020_Category>
    <UNDPSummary xmlns="f1161f5b-24a3-4c2d-bc81-44cb9325e8ee" xsi:nil="true"/>
    <UndpDocTypeMMTaxHTField0 xmlns="1ed4137b-41b2-488b-8250-6d369ec27664">
      <Terms xmlns="http://schemas.microsoft.com/office/infopath/2007/PartnerControls"/>
    </UndpDocTypeMMTaxHTField0>
    <UNDPFocusAreasTaxHTField0 xmlns="1ed4137b-41b2-488b-8250-6d369ec27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Environment and Energy</TermName>
          <TermId xmlns="http://schemas.microsoft.com/office/infopath/2007/PartnerControls">507850c5-118d-4c78-99b1-c760df552b10</TermId>
        </TermInfo>
      </Terms>
    </UNDPFocusAreasTaxHTField0>
    <idff2b682fce4d0680503cd9036a3260 xmlns="f1161f5b-24a3-4c2d-bc81-44cb9325e8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Progress Report</TermName>
          <TermId xmlns="http://schemas.microsoft.com/office/infopath/2007/PartnerControls">03c70d0e-c75e-4cfb-8288-e692640ede14</TermId>
        </TermInfo>
      </Terms>
    </idff2b682fce4d0680503cd9036a3260>
    <o4086b1782a74105bb5269035bccc8e9 xmlns="f1161f5b-24a3-4c2d-bc81-44cb9325e8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121d40a5-e62e-4d42-82e4-d6d12003de0a</TermId>
        </TermInfo>
      </Terms>
    </o4086b1782a74105bb5269035bccc8e9>
    <_Publisher xmlns="http://schemas.microsoft.com/sharepoint/v3/fields" xsi:nil="true"/>
    <UNDPPOPPFunctionalArea xmlns="f1161f5b-24a3-4c2d-bc81-44cb9325e8ee">Programme and Project</UNDPPOPPFunctionalArea>
    <Project_x0020_Number xmlns="f1161f5b-24a3-4c2d-bc81-44cb9325e8ee" xsi:nil="true"/>
    <Project_x0020_Manager xmlns="f1161f5b-24a3-4c2d-bc81-44cb9325e8ee" xsi:nil="true"/>
    <TaxCatchAll xmlns="1ed4137b-41b2-488b-8250-6d369ec27664">
      <Value>1112</Value>
      <Value>233</Value>
      <Value>296</Value>
      <Value>1240</Value>
      <Value>763</Value>
    </TaxCatchAll>
    <c4e2ab2cc9354bbf9064eeb465a566ea xmlns="1ed4137b-41b2-488b-8250-6d369ec27664">
      <Terms xmlns="http://schemas.microsoft.com/office/infopath/2007/PartnerControls"/>
    </c4e2ab2cc9354bbf9064eeb465a566ea>
    <UndpProjectNo xmlns="1ed4137b-41b2-488b-8250-6d369ec27664">00074692</UndpProjectNo>
    <UndpDocStatus xmlns="1ed4137b-41b2-488b-8250-6d369ec27664">Approved</UndpDocStatus>
    <Outcome1 xmlns="f1161f5b-24a3-4c2d-bc81-44cb9325e8ee" xsi:nil="true"/>
    <UndpClassificationLevel xmlns="1ed4137b-41b2-488b-8250-6d369ec27664">Public</UndpClassificationLevel>
    <UndpIsTemplate xmlns="1ed4137b-41b2-488b-8250-6d369ec27664">No</UndpIsTemplate>
    <UndpDocID xmlns="1ed4137b-41b2-488b-8250-6d369ec27664" xsi:nil="true"/>
    <UN_x0020_LanguagesTaxHTField0 xmlns="1ed4137b-41b2-488b-8250-6d369ec27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French</TermName>
          <TermId xmlns="http://schemas.microsoft.com/office/infopath/2007/PartnerControls">946783f8-cd0b-41e2-848e-7777f631248e</TermId>
        </TermInfo>
      </Terms>
    </UN_x0020_LanguagesTaxHTField0>
    <gc6531b704974d528487414686b72f6f xmlns="f1161f5b-24a3-4c2d-bc81-44cb9325e8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H01</TermName>
          <TermId xmlns="http://schemas.microsoft.com/office/infopath/2007/PartnerControls">29e3582e-d6e8-4cc4-955d-c403f99df31e</TermId>
        </TermInfo>
      </Terms>
    </gc6531b704974d528487414686b72f6f>
    <_dlc_DocId xmlns="f1161f5b-24a3-4c2d-bc81-44cb9325e8ee">ATLASPDC-4-37218</_dlc_DocId>
    <_dlc_DocIdUrl xmlns="f1161f5b-24a3-4c2d-bc81-44cb9325e8ee">
      <Url>https://info.undp.org/docs/pdc/_layouts/DocIdRedir.aspx?ID=ATLASPDC-4-37218</Url>
      <Description>ATLASPDC-4-37218</Description>
    </_dlc_DocIdUrl>
    <Document_x0020_Coverage_x0020_Period_x0020_Start_x0020_Date xmlns="f1161f5b-24a3-4c2d-bc81-44cb9325e8ee" xsi:nil="true"/>
    <Document_x0020_Coverage_x0020_Period_x0020_End_x0020_Date xmlns="f1161f5b-24a3-4c2d-bc81-44cb9325e8ee" xsi:nil="true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DP Programme Document" ma:contentTypeID="0x010100F075C04BA242A84ABD3293E3AD35CDA400AB50428DC784B44FAACCAA5FAE40C0590045B5E632B552204ABF0E616DD66BDA0F" ma:contentTypeVersion="73" ma:contentTypeDescription="" ma:contentTypeScope="" ma:versionID="9de00a5f5954494ae107930a66ca92e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1ed4137b-41b2-488b-8250-6d369ec27664" xmlns:ns4="f1161f5b-24a3-4c2d-bc81-44cb9325e8ee" targetNamespace="http://schemas.microsoft.com/office/2006/metadata/properties" ma:root="true" ma:fieldsID="074a45cdc06b655c19533db1d6232777" ns1:_="" ns2:_="" ns3:_="" ns4:_="">
    <xsd:import namespace="http://schemas.microsoft.com/sharepoint/v3"/>
    <xsd:import namespace="http://schemas.microsoft.com/sharepoint/v3/fields"/>
    <xsd:import namespace="1ed4137b-41b2-488b-8250-6d369ec27664"/>
    <xsd:import namespace="f1161f5b-24a3-4c2d-bc81-44cb9325e8ee"/>
    <xsd:element name="properties">
      <xsd:complexType>
        <xsd:sequence>
          <xsd:element name="documentManagement">
            <xsd:complexType>
              <xsd:all>
                <xsd:element ref="ns3:UndpClassificationLevel" minOccurs="0"/>
                <xsd:element ref="ns4:UNDPPOPPFunctionalArea" minOccurs="0"/>
                <xsd:element ref="ns3:UndpProjectNo" minOccurs="0"/>
                <xsd:element ref="ns4:Outcome1" minOccurs="0"/>
                <xsd:element ref="ns3:UndpDocStatus" minOccurs="0"/>
                <xsd:element ref="ns3:UndpOUCode" minOccurs="0"/>
                <xsd:element ref="ns3:UndpDocFormat" minOccurs="0"/>
                <xsd:element ref="ns3:UndpDocID" minOccurs="0"/>
                <xsd:element ref="ns4:PDC_x0020_Document_x0020_Category" minOccurs="0"/>
                <xsd:element ref="ns4:UNDPPublishedDate" minOccurs="0"/>
                <xsd:element ref="ns4:UNDPSummary" minOccurs="0"/>
                <xsd:element ref="ns3:TaxCatchAll" minOccurs="0"/>
                <xsd:element ref="ns3:TaxCatchAllLabel" minOccurs="0"/>
                <xsd:element ref="ns3:UndpDocTypeMMTaxHTField0" minOccurs="0"/>
                <xsd:element ref="ns3:UNDPCountryTaxHTField0" minOccurs="0"/>
                <xsd:element ref="ns3:UNDPDocumentCategoryTaxHTField0" minOccurs="0"/>
                <xsd:element ref="ns3:b6db62fdefd74bd188b0c1cc54de5bcf" minOccurs="0"/>
                <xsd:element ref="ns3:UN_x0020_LanguagesTaxHTField0" minOccurs="0"/>
                <xsd:element ref="ns3:c4e2ab2cc9354bbf9064eeb465a566ea" minOccurs="0"/>
                <xsd:element ref="ns3:UNDPFocusAreasTaxHTField0" minOccurs="0"/>
                <xsd:element ref="ns4:o4086b1782a74105bb5269035bccc8e9" minOccurs="0"/>
                <xsd:element ref="ns4:Project_x0020_Number" minOccurs="0"/>
                <xsd:element ref="ns4:idff2b682fce4d0680503cd9036a3260" minOccurs="0"/>
                <xsd:element ref="ns3:UndpIsTemplate" minOccurs="0"/>
                <xsd:element ref="ns4:gc6531b704974d528487414686b72f6f" minOccurs="0"/>
                <xsd:element ref="ns4:Project_x0020_Manager" minOccurs="0"/>
                <xsd:element ref="ns2:_Publisher" minOccurs="0"/>
                <xsd:element ref="ns4:_dlc_DocId" minOccurs="0"/>
                <xsd:element ref="ns4:_dlc_DocIdUrl" minOccurs="0"/>
                <xsd:element ref="ns4:_dlc_DocIdPersistId" minOccurs="0"/>
                <xsd:element ref="ns4:Document_x0020_Coverage_x0020_Period_x0020_Start_x0020_Date" minOccurs="0"/>
                <xsd:element ref="ns4:Document_x0020_Coverage_x0020_Period_x0020_End_x0020_Date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atedBy" ma:index="52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53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54" nillable="true" ma:displayName="Number of Likes" ma:internalName="LikesCount">
      <xsd:simpleType>
        <xsd:restriction base="dms:Unknown"/>
      </xsd:simpleType>
    </xsd:element>
    <xsd:element name="LikedBy" ma:index="55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Publisher" ma:index="46" nillable="true" ma:displayName="Publisher" ma:description="The person who published the document" ma:hidden="true" ma:internalName="_Publish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4137b-41b2-488b-8250-6d369ec27664" elementFormDefault="qualified">
    <xsd:import namespace="http://schemas.microsoft.com/office/2006/documentManagement/types"/>
    <xsd:import namespace="http://schemas.microsoft.com/office/infopath/2007/PartnerControls"/>
    <xsd:element name="UndpClassificationLevel" ma:index="4" nillable="true" ma:displayName="Classification Level" ma:default="Internal Use Only" ma:description="re: UNDP Information Classification &amp; Handling Standard" ma:format="Dropdown" ma:internalName="UndpClassificationLevel">
      <xsd:simpleType>
        <xsd:restriction base="dms:Choice">
          <xsd:enumeration value="Internal Use Only"/>
          <xsd:enumeration value="Confidential"/>
          <xsd:enumeration value="Highly Confidential"/>
          <xsd:enumeration value="Public"/>
        </xsd:restriction>
      </xsd:simpleType>
    </xsd:element>
    <xsd:element name="UndpProjectNo" ma:index="8" nillable="true" ma:displayName="Project No" ma:description="If applicable, the Atlas Project Number that this document relates to." ma:internalName="UndpProjectNo" ma:readOnly="false">
      <xsd:simpleType>
        <xsd:restriction base="dms:Text">
          <xsd:maxLength value="12"/>
        </xsd:restriction>
      </xsd:simpleType>
    </xsd:element>
    <xsd:element name="UndpDocStatus" ma:index="10" nillable="true" ma:displayName="Document Status" ma:default="Draft" ma:description="The status of the document" ma:format="Dropdown" ma:internalName="UndpDocStatus">
      <xsd:simpleType>
        <xsd:restriction base="dms:Choice">
          <xsd:enumeration value="Draft"/>
          <xsd:enumeration value="Reviewed"/>
          <xsd:enumeration value="Approved"/>
          <xsd:enumeration value="Not Approved"/>
          <xsd:enumeration value="Final"/>
          <xsd:enumeration value="Expired"/>
        </xsd:restriction>
      </xsd:simpleType>
    </xsd:element>
    <xsd:element name="UndpOUCode" ma:index="11" nillable="true" ma:displayName="Unit Code" ma:description="The Atlas Unit Code of the authoring Unit" ma:format="Dropdown" ma:internalName="UndpOUCode">
      <xsd:simpleType>
        <xsd:restriction base="dms:Choice">
          <xsd:enumeration value="ABW"/>
          <xsd:enumeration value="AFG"/>
          <xsd:enumeration value="AGO"/>
          <xsd:enumeration value="AIA"/>
          <xsd:enumeration value="ALB"/>
          <xsd:enumeration value="ANT"/>
          <xsd:enumeration value="ARE"/>
          <xsd:enumeration value="ARG"/>
          <xsd:enumeration value="ARM"/>
          <xsd:enumeration value="ATG"/>
          <xsd:enumeration value="AZE"/>
          <xsd:enumeration value="BDI"/>
          <xsd:enumeration value="BEN"/>
          <xsd:enumeration value="BFA"/>
          <xsd:enumeration value="BGD"/>
          <xsd:enumeration value="BGR"/>
          <xsd:enumeration value="BHR"/>
          <xsd:enumeration value="BHS"/>
          <xsd:enumeration value="BIH"/>
          <xsd:enumeration value="BLR"/>
          <xsd:enumeration value="BLZ"/>
          <xsd:enumeration value="BMU"/>
          <xsd:enumeration value="BOL"/>
          <xsd:enumeration value="BRA"/>
          <xsd:enumeration value="BRB"/>
          <xsd:enumeration value="BRC"/>
          <xsd:enumeration value="BTN"/>
          <xsd:enumeration value="BWA"/>
          <xsd:enumeration value="CAF"/>
          <xsd:enumeration value="CHL"/>
          <xsd:enumeration value="CHN"/>
          <xsd:enumeration value="CIV"/>
          <xsd:enumeration value="CMR"/>
          <xsd:enumeration value="COD"/>
          <xsd:enumeration value="COG"/>
          <xsd:enumeration value="COK"/>
          <xsd:enumeration value="COL"/>
          <xsd:enumeration value="COM"/>
          <xsd:enumeration value="CPV"/>
          <xsd:enumeration value="CRC"/>
          <xsd:enumeration value="CRI"/>
          <xsd:enumeration value="CUB"/>
          <xsd:enumeration value="CUR"/>
          <xsd:enumeration value="CYM"/>
          <xsd:enumeration value="CYP"/>
          <xsd:enumeration value="DJI"/>
          <xsd:enumeration value="DMA"/>
          <xsd:enumeration value="DOM"/>
          <xsd:enumeration value="DZA"/>
          <xsd:enumeration value="ECU"/>
          <xsd:enumeration value="EGY"/>
          <xsd:enumeration value="ERI"/>
          <xsd:enumeration value="ETH"/>
          <xsd:enumeration value="FJI"/>
          <xsd:enumeration value="FSM"/>
          <xsd:enumeration value="GAB"/>
          <xsd:enumeration value="GEO"/>
          <xsd:enumeration value="GHA"/>
          <xsd:enumeration value="GIN"/>
          <xsd:enumeration value="GMB"/>
          <xsd:enumeration value="GNB"/>
          <xsd:enumeration value="GNQ"/>
          <xsd:enumeration value="GRD"/>
          <xsd:enumeration value="GTM"/>
          <xsd:enumeration value="GUY"/>
          <xsd:enumeration value="HND"/>
          <xsd:enumeration value="HRV"/>
          <xsd:enumeration value="HTI"/>
          <xsd:enumeration value="IDN"/>
          <xsd:enumeration value="IND"/>
          <xsd:enumeration value="IRN"/>
          <xsd:enumeration value="IRQ"/>
          <xsd:enumeration value="JAM"/>
          <xsd:enumeration value="JOR"/>
          <xsd:enumeration value="KAZ"/>
          <xsd:enumeration value="KEN"/>
          <xsd:enumeration value="KGZ"/>
          <xsd:enumeration value="KHM"/>
          <xsd:enumeration value="KIR"/>
          <xsd:enumeration value="KNA"/>
          <xsd:enumeration value="KOR"/>
          <xsd:enumeration value="KOS"/>
          <xsd:enumeration value="KWT"/>
          <xsd:enumeration value="LAO"/>
          <xsd:enumeration value="LBN"/>
          <xsd:enumeration value="LBR"/>
          <xsd:enumeration value="LBY"/>
          <xsd:enumeration value="LCA"/>
          <xsd:enumeration value="LKA"/>
          <xsd:enumeration value="LSO"/>
          <xsd:enumeration value="LTU"/>
          <xsd:enumeration value="LVA"/>
          <xsd:enumeration value="MAR"/>
          <xsd:enumeration value="MDA"/>
          <xsd:enumeration value="MDG"/>
          <xsd:enumeration value="MDV"/>
          <xsd:enumeration value="MEX"/>
          <xsd:enumeration value="MHL"/>
          <xsd:enumeration value="MKD"/>
          <xsd:enumeration value="MLI"/>
          <xsd:enumeration value="MMR"/>
          <xsd:enumeration value="MNE"/>
          <xsd:enumeration value="MNG"/>
          <xsd:enumeration value="MOZ"/>
          <xsd:enumeration value="MRT"/>
          <xsd:enumeration value="MSR"/>
          <xsd:enumeration value="MUS"/>
          <xsd:enumeration value="MWI"/>
          <xsd:enumeration value="MYS"/>
          <xsd:enumeration value="NAM"/>
          <xsd:enumeration value="NER"/>
          <xsd:enumeration value="NGA"/>
          <xsd:enumeration value="NIC"/>
          <xsd:enumeration value="NIU"/>
          <xsd:enumeration value="NPL"/>
          <xsd:enumeration value="NRU"/>
          <xsd:enumeration value="PAK"/>
          <xsd:enumeration value="PAL"/>
          <xsd:enumeration value="PAN"/>
          <xsd:enumeration value="PER"/>
          <xsd:enumeration value="PHL"/>
          <xsd:enumeration value="PLW"/>
          <xsd:enumeration value="PNG"/>
          <xsd:enumeration value="POL"/>
          <xsd:enumeration value="PRK"/>
          <xsd:enumeration value="PRY"/>
          <xsd:enumeration value="PSC"/>
          <xsd:enumeration value="QAT"/>
          <xsd:enumeration value="R11"/>
          <xsd:enumeration value="R12"/>
          <xsd:enumeration value="R44"/>
          <xsd:enumeration value="R45"/>
          <xsd:enumeration value="R46"/>
          <xsd:enumeration value="R47"/>
          <xsd:enumeration value="RJB"/>
          <xsd:enumeration value="ROU"/>
          <xsd:enumeration value="RUS"/>
          <xsd:enumeration value="RWA"/>
          <xsd:enumeration value="SAU"/>
          <xsd:enumeration value="SDN"/>
          <xsd:enumeration value="SEN"/>
          <xsd:enumeration value="SLB"/>
          <xsd:enumeration value="SLE"/>
          <xsd:enumeration value="SLV"/>
          <xsd:enumeration value="SOM"/>
          <xsd:enumeration value="SRB"/>
          <xsd:enumeration value="SSD"/>
          <xsd:enumeration value="STP"/>
          <xsd:enumeration value="SUR"/>
          <xsd:enumeration value="SVK"/>
          <xsd:enumeration value="SWZ"/>
          <xsd:enumeration value="SYC"/>
          <xsd:enumeration value="SYR"/>
          <xsd:enumeration value="TCA"/>
          <xsd:enumeration value="TCD"/>
          <xsd:enumeration value="TGO"/>
          <xsd:enumeration value="THA"/>
          <xsd:enumeration value="TJK"/>
          <xsd:enumeration value="TKL"/>
          <xsd:enumeration value="TKM"/>
          <xsd:enumeration value="TLS"/>
          <xsd:enumeration value="TON"/>
          <xsd:enumeration value="TTO"/>
          <xsd:enumeration value="TUN"/>
          <xsd:enumeration value="TUR"/>
          <xsd:enumeration value="TUV"/>
          <xsd:enumeration value="TZA"/>
          <xsd:enumeration value="UGA"/>
          <xsd:enumeration value="UKR"/>
          <xsd:enumeration value="UNV"/>
          <xsd:enumeration value="URY"/>
          <xsd:enumeration value="UZB"/>
          <xsd:enumeration value="VCT"/>
          <xsd:enumeration value="VEN"/>
          <xsd:enumeration value="VGB"/>
          <xsd:enumeration value="VNM"/>
          <xsd:enumeration value="VUT"/>
          <xsd:enumeration value="WSM"/>
          <xsd:enumeration value="YEM"/>
          <xsd:enumeration value="ZAF"/>
          <xsd:enumeration value="ZMB"/>
          <xsd:enumeration value="ZWE"/>
          <xsd:enumeration value="H01"/>
          <xsd:enumeration value="H02"/>
          <xsd:enumeration value="H03"/>
          <xsd:enumeration value="H04"/>
          <xsd:enumeration value="H05"/>
          <xsd:enumeration value="H10"/>
          <xsd:enumeration value="H11"/>
          <xsd:enumeration value="H13"/>
          <xsd:enumeration value="H13"/>
          <xsd:enumeration value="H14"/>
          <xsd:enumeration value="H15"/>
          <xsd:enumeration value="H17"/>
          <xsd:enumeration value="H18"/>
          <xsd:enumeration value="H19"/>
          <xsd:enumeration value="H20"/>
          <xsd:enumeration value="H21"/>
          <xsd:enumeration value="H22"/>
          <xsd:enumeration value="H23"/>
          <xsd:enumeration value="H24"/>
          <xsd:enumeration value="H25"/>
          <xsd:enumeration value="H26"/>
          <xsd:enumeration value="H27"/>
          <xsd:enumeration value="H28"/>
          <xsd:enumeration value="H30"/>
          <xsd:enumeration value="H31"/>
          <xsd:enumeration value="H35"/>
          <xsd:enumeration value="H42"/>
          <xsd:enumeration value="H43"/>
          <xsd:enumeration value="H45"/>
          <xsd:enumeration value="H46"/>
          <xsd:enumeration value="H48"/>
          <xsd:enumeration value="H49"/>
          <xsd:enumeration value="H51"/>
          <xsd:enumeration value="H54"/>
          <xsd:enumeration value="H56"/>
          <xsd:enumeration value="H57"/>
          <xsd:enumeration value="H58"/>
          <xsd:enumeration value="H59"/>
          <xsd:enumeration value="H61"/>
          <xsd:enumeration value="H62"/>
          <xsd:enumeration value="H70"/>
          <xsd:enumeration value="H71"/>
        </xsd:restriction>
      </xsd:simpleType>
    </xsd:element>
    <xsd:element name="UndpDocFormat" ma:index="12" nillable="true" ma:displayName="Document Medium" ma:description="The medium/format from which this document originated (i.e. Fax, Paper, eDocument etc.)" ma:format="Dropdown" ma:internalName="UndpDocFormat">
      <xsd:simpleType>
        <xsd:restriction base="dms:Choice">
          <xsd:enumeration value="E-Document"/>
          <xsd:enumeration value="Letter/Paper"/>
          <xsd:enumeration value="E-Mail"/>
          <xsd:enumeration value="Fax/Telecopy"/>
          <xsd:enumeration value="Audio"/>
          <xsd:enumeration value="Database"/>
          <xsd:enumeration value="Image/Picture"/>
          <xsd:enumeration value="Instant Message"/>
          <xsd:enumeration value="Social Media"/>
        </xsd:restriction>
      </xsd:simpleType>
    </xsd:element>
    <xsd:element name="UndpDocID" ma:index="14" nillable="true" ma:displayName="Doc ID" ma:description="The Unique ID number for this document. Reserve for System Use." ma:internalName="UndpDocID">
      <xsd:simpleType>
        <xsd:restriction base="dms:Text">
          <xsd:maxLength value="35"/>
        </xsd:restriction>
      </xsd:simpleType>
    </xsd:element>
    <xsd:element name="TaxCatchAll" ma:index="23" nillable="true" ma:displayName="Taxonomy Catch All Column" ma:hidden="true" ma:list="{ebf97bad-dcbe-4f0d-9a23-b800605d6ac9}" ma:internalName="TaxCatchAll" ma:showField="CatchAllData" ma:web="f1161f5b-24a3-4c2d-bc81-44cb9325e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hidden="true" ma:list="{ebf97bad-dcbe-4f0d-9a23-b800605d6ac9}" ma:internalName="TaxCatchAllLabel" ma:readOnly="true" ma:showField="CatchAllDataLabel" ma:web="f1161f5b-24a3-4c2d-bc81-44cb9325e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dpDocTypeMMTaxHTField0" ma:index="25" nillable="true" ma:taxonomy="true" ma:internalName="UndpDocTypeMMTaxHTField0" ma:taxonomyFieldName="UndpDocTypeMM" ma:displayName="Document Type" ma:default="" ma:fieldId="{ef94467a-fb76-4b42-91a0-5b5bdb6c8d34}" ma:sspId="28e6c43a-9e99-4bdd-9574-a0fa4ea3b61e" ma:termSetId="9ee71e91-19a9-476b-852f-3c2a633960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DPCountryTaxHTField0" ma:index="27" nillable="true" ma:taxonomy="true" ma:internalName="UNDPCountryTaxHTField0" ma:taxonomyFieldName="UNDPCountry" ma:displayName="Applies To Unit/Office/Country" ma:default="" ma:fieldId="{81e4cc14-7d66-47aa-92fc-e5e3ceab8cf9}" ma:taxonomyMulti="true" ma:sspId="28e6c43a-9e99-4bdd-9574-a0fa4ea3b61e" ma:termSetId="442a42f2-fc2a-49a0-9036-6cd97a005fb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DPDocumentCategoryTaxHTField0" ma:index="30" nillable="true" ma:taxonomy="true" ma:internalName="UNDPDocumentCategoryTaxHTField0" ma:taxonomyFieldName="UNDPDocumentCategory" ma:displayName="Document Category" ma:readOnly="false" ma:default="" ma:fieldId="{30683383-b7b1-438d-8f61-9bf6b516a9e8}" ma:sspId="28e6c43a-9e99-4bdd-9574-a0fa4ea3b61e" ma:termSetId="353ae5a2-1c9c-42f6-bb56-cf3ba72fb60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6db62fdefd74bd188b0c1cc54de5bcf" ma:index="32" nillable="true" ma:taxonomy="true" ma:internalName="b6db62fdefd74bd188b0c1cc54de5bcf" ma:taxonomyFieldName="UndpUnitMM" ma:displayName="Responsible Unit/Office" ma:readOnly="false" ma:default="" ma:fieldId="{b6db62fd-efd7-4bd1-88b0-c1cc54de5bcf}" ma:taxonomyMulti="true" ma:sspId="28e6c43a-9e99-4bdd-9574-a0fa4ea3b61e" ma:termSetId="41041907-3ad1-4549-b766-200fd229bd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_x0020_LanguagesTaxHTField0" ma:index="33" nillable="true" ma:taxonomy="true" ma:internalName="UN_x0020_LanguagesTaxHTField0" ma:taxonomyFieldName="UN_x0020_Languages" ma:displayName="UN Languages" ma:readOnly="false" ma:default="1;#English|7f98b732-4b5b-4b70-ba90-a0eff09b5d2d" ma:fieldId="{41a2b052-e54a-4bfe-83da-6da45935c81e}" ma:sspId="28e6c43a-9e99-4bdd-9574-a0fa4ea3b61e" ma:termSetId="b4046108-c9b1-4d97-ad16-d3846fb24317" ma:anchorId="45d05d46-9bc9-40df-8618-9658690cf41e" ma:open="false" ma:isKeyword="false">
      <xsd:complexType>
        <xsd:sequence>
          <xsd:element ref="pc:Terms" minOccurs="0" maxOccurs="1"/>
        </xsd:sequence>
      </xsd:complexType>
    </xsd:element>
    <xsd:element name="c4e2ab2cc9354bbf9064eeb465a566ea" ma:index="34" nillable="true" ma:taxonomy="true" ma:internalName="c4e2ab2cc9354bbf9064eeb465a566ea" ma:taxonomyFieldName="eRegFilingCodeMM" ma:displayName="eFiling Code" ma:readOnly="false" ma:default="" ma:fieldId="{c4e2ab2c-c935-4bbf-9064-eeb465a566ea}" ma:sspId="28e6c43a-9e99-4bdd-9574-a0fa4ea3b61e" ma:termSetId="3f69c20a-3173-4973-84b2-95ebea5be078" ma:anchorId="f37a81ce-dd31-4fa3-b388-af2156d559de" ma:open="false" ma:isKeyword="false">
      <xsd:complexType>
        <xsd:sequence>
          <xsd:element ref="pc:Terms" minOccurs="0" maxOccurs="1"/>
        </xsd:sequence>
      </xsd:complexType>
    </xsd:element>
    <xsd:element name="UNDPFocusAreasTaxHTField0" ma:index="35" nillable="true" ma:taxonomy="true" ma:internalName="UNDPFocusAreasTaxHTField0" ma:taxonomyFieldName="UNDPFocusAreas" ma:displayName="Focus Area" ma:readOnly="false" ma:default="" ma:fieldId="{c0f5d6bc-94c2-4efb-8cb3-448ca9792810}" ma:taxonomyMulti="true" ma:sspId="28e6c43a-9e99-4bdd-9574-a0fa4ea3b61e" ma:termSetId="5595b894-23d9-4524-8855-5c6c69b8bcc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dpIsTemplate" ma:index="43" nillable="true" ma:displayName="Template" ma:default="No" ma:description="Is this document a template or model upon which other documents should be based?" ma:format="RadioButtons" ma:hidden="true" ma:internalName="UndpIsTemplate" ma:readOnly="false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61f5b-24a3-4c2d-bc81-44cb9325e8ee" elementFormDefault="qualified">
    <xsd:import namespace="http://schemas.microsoft.com/office/2006/documentManagement/types"/>
    <xsd:import namespace="http://schemas.microsoft.com/office/infopath/2007/PartnerControls"/>
    <xsd:element name="UNDPPOPPFunctionalArea" ma:index="5" nillable="true" ma:displayName="Functional Area" ma:description="The Functional Area (as defined in POPP) of this document" ma:format="Dropdown" ma:internalName="UNDPPOPPFunctionalArea" ma:readOnly="false">
      <xsd:simpleType>
        <xsd:restriction base="dms:Choice">
          <xsd:enumeration value="Administrative Services"/>
          <xsd:enumeration value="Contract and Procurement"/>
          <xsd:enumeration value="Ethics"/>
          <xsd:enumeration value="Financial Resources"/>
          <xsd:enumeration value="Human Resources"/>
          <xsd:enumeration value="Information and Communications Technology"/>
          <xsd:enumeration value="Management of Crisis and Special Development Situations"/>
          <xsd:enumeration value="Partnerships"/>
          <xsd:enumeration value="Programme and Project"/>
          <xsd:enumeration value="Results &amp; Accountability"/>
          <xsd:enumeration value="Prescriptive Content"/>
          <xsd:enumeration value="Security"/>
        </xsd:restriction>
      </xsd:simpleType>
    </xsd:element>
    <xsd:element name="Outcome1" ma:index="9" nillable="true" ma:displayName="Output No" ma:internalName="Outcome1" ma:readOnly="false">
      <xsd:simpleType>
        <xsd:restriction base="dms:Text">
          <xsd:maxLength value="8"/>
        </xsd:restriction>
      </xsd:simpleType>
    </xsd:element>
    <xsd:element name="PDC_x0020_Document_x0020_Category" ma:index="15" nillable="true" ma:displayName="PDC Document Category" ma:default="Project" ma:format="Dropdown" ma:internalName="PDC_x0020_Document_x0020_Category" ma:readOnly="false">
      <xsd:simpleType>
        <xsd:restriction base="dms:Choice">
          <xsd:enumeration value="Project"/>
          <xsd:enumeration value="Proposal"/>
        </xsd:restriction>
      </xsd:simpleType>
    </xsd:element>
    <xsd:element name="UNDPPublishedDate" ma:index="19" nillable="true" ma:displayName="Published Date" ma:description="The date the document was published" ma:format="DateOnly" ma:hidden="true" ma:internalName="UNDPPublishedDate" ma:readOnly="false">
      <xsd:simpleType>
        <xsd:restriction base="dms:DateTime"/>
      </xsd:simpleType>
    </xsd:element>
    <xsd:element name="UNDPSummary" ma:index="21" nillable="true" ma:displayName="Summary" ma:description="A brief description or summary of the document that will displayed in search results." ma:hidden="true" ma:internalName="UNDPSummary" ma:readOnly="false">
      <xsd:simpleType>
        <xsd:restriction base="dms:Note"/>
      </xsd:simpleType>
    </xsd:element>
    <xsd:element name="o4086b1782a74105bb5269035bccc8e9" ma:index="39" nillable="true" ma:taxonomy="true" ma:internalName="o4086b1782a74105bb5269035bccc8e9" ma:taxonomyFieldName="Atlas_x0020_Document_x0020_Status" ma:displayName="PDC Document Status" ma:indexed="true" ma:default="763;#Draft|121d40a5-e62e-4d42-82e4-d6d12003de0a" ma:fieldId="{84086b17-82a7-4105-bb52-69035bccc8e9}" ma:sspId="28e6c43a-9e99-4bdd-9574-a0fa4ea3b61e" ma:termSetId="25903f6f-cbc1-40ed-9940-25d83ada12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Number" ma:index="40" nillable="true" ma:displayName="Project Number" ma:hidden="true" ma:internalName="Project_x0020_Number" ma:readOnly="false">
      <xsd:simpleType>
        <xsd:restriction base="dms:Text">
          <xsd:maxLength value="8"/>
        </xsd:restriction>
      </xsd:simpleType>
    </xsd:element>
    <xsd:element name="idff2b682fce4d0680503cd9036a3260" ma:index="41" nillable="true" ma:taxonomy="true" ma:internalName="idff2b682fce4d0680503cd9036a3260" ma:taxonomyFieldName="Atlas_x0020_Document_x0020_Type" ma:displayName="PDC Document Type" ma:default="" ma:fieldId="{2dff2b68-2fce-4d06-8050-3cd9036a3260}" ma:sspId="28e6c43a-9e99-4bdd-9574-a0fa4ea3b61e" ma:termSetId="30d68b81-e6e1-44c0-83ea-00369bf2f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c6531b704974d528487414686b72f6f" ma:index="44" nillable="true" ma:taxonomy="true" ma:internalName="gc6531b704974d528487414686b72f6f" ma:taxonomyFieldName="Operating_x0020_Unit0" ma:displayName="Operating Unit" ma:default="" ma:fieldId="{0c6531b7-0497-4d52-8487-414686b72f6f}" ma:sspId="28e6c43a-9e99-4bdd-9574-a0fa4ea3b61e" ma:termSetId="4a12f052-e370-4dc7-89e6-088c48edbf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Manager" ma:index="45" nillable="true" ma:displayName="Project Manager" ma:hidden="true" ma:internalName="Project_x0020_Manager" ma:readOnly="false">
      <xsd:simpleType>
        <xsd:restriction base="dms:Text">
          <xsd:maxLength value="50"/>
        </xsd:restriction>
      </xsd:simpleType>
    </xsd:element>
    <xsd:element name="_dlc_DocId" ma:index="4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cument_x0020_Coverage_x0020_Period_x0020_Start_x0020_Date" ma:index="50" nillable="true" ma:displayName="Document Coverage Period Start Date" ma:description="The period start date of the document covers or is valid (E.g. project start date specified in a project document, start date of the period covered by a project review report, a donor report, etc.)" ma:format="DateOnly" ma:internalName="Document_x0020_Coverage_x0020_Period_x0020_Start_x0020_Date">
      <xsd:simpleType>
        <xsd:restriction base="dms:DateTime"/>
      </xsd:simpleType>
    </xsd:element>
    <xsd:element name="Document_x0020_Coverage_x0020_Period_x0020_End_x0020_Date" ma:index="51" nillable="true" ma:displayName="Document Coverage Period End Date" ma:description="The period end date of the document covers or is valid (E.g. End date specified in a project document, period end date of review report, signed or published date if period is not relevant, such as MoU or Tender)" ma:format="DateOnly" ma:internalName="Document_x0020_Coverage_x0020_Period_x0020_End_x0020_Date" ma:readOnly="false">
      <xsd:simpleType>
        <xsd:restriction base="dms:DateTime"/>
      </xsd:simpleType>
    </xsd:element>
    <xsd:element name="SharedWithUsers" ma:index="5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hor"/>
        <xsd:element ref="dcterms:created" minOccurs="0" maxOccurs="1"/>
        <xsd:element ref="dc:identifier" minOccurs="0" maxOccurs="1"/>
        <xsd:element name="contentType" minOccurs="0" maxOccurs="1" type="xsd:string" ma:index="29" ma:displayName="Content Type"/>
        <xsd:element ref="dc:title" minOccurs="0" maxOccurs="1" ma:index="1" ma:displayName="Title"/>
        <xsd:element ref="dc:subject" minOccurs="0" maxOccurs="1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haredContentType xmlns="Microsoft.SharePoint.Taxonomy.ContentTypeSync" SourceId="28e6c43a-9e99-4bdd-9574-a0fa4ea3b61e" ContentTypeId="0x010100F075C04BA242A84ABD3293E3AD35CDA4" PreviousValue="false"/>
</file>

<file path=customXml/itemProps1.xml><?xml version="1.0" encoding="utf-8"?>
<ds:datastoreItem xmlns:ds="http://schemas.openxmlformats.org/officeDocument/2006/customXml" ds:itemID="{0D05C050-5716-48E7-AFA4-12557B01B3A1}"/>
</file>

<file path=customXml/itemProps2.xml><?xml version="1.0" encoding="utf-8"?>
<ds:datastoreItem xmlns:ds="http://schemas.openxmlformats.org/officeDocument/2006/customXml" ds:itemID="{D2323F72-89F5-4A0F-9F4A-14EB3EF12DAA}"/>
</file>

<file path=customXml/itemProps3.xml><?xml version="1.0" encoding="utf-8"?>
<ds:datastoreItem xmlns:ds="http://schemas.openxmlformats.org/officeDocument/2006/customXml" ds:itemID="{45C2C9AA-626B-465E-90B4-7F8A2B53C86F}"/>
</file>

<file path=customXml/itemProps4.xml><?xml version="1.0" encoding="utf-8"?>
<ds:datastoreItem xmlns:ds="http://schemas.openxmlformats.org/officeDocument/2006/customXml" ds:itemID="{5D421B92-0D86-4520-B91D-E78EBCB72DB6}"/>
</file>

<file path=customXml/itemProps5.xml><?xml version="1.0" encoding="utf-8"?>
<ds:datastoreItem xmlns:ds="http://schemas.openxmlformats.org/officeDocument/2006/customXml" ds:itemID="{811BFA65-E75E-4E91-9864-350AC4189B91}"/>
</file>

<file path=customXml/itemProps6.xml><?xml version="1.0" encoding="utf-8"?>
<ds:datastoreItem xmlns:ds="http://schemas.openxmlformats.org/officeDocument/2006/customXml" ds:itemID="{63D4677B-A2C3-424E-91CC-2BADB24447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1766</Words>
  <Characters>10067</Characters>
  <Application>Microsoft Office Word</Application>
  <DocSecurity>0</DocSecurity>
  <Lines>83</Lines>
  <Paragraphs>23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QPR 3-4 2014</dc:title>
  <dc:subject/>
  <dc:creator>user</dc:creator>
  <cp:lastModifiedBy>Aki Kogachi</cp:lastModifiedBy>
  <cp:revision>2</cp:revision>
  <dcterms:created xsi:type="dcterms:W3CDTF">2015-01-16T10:11:00Z</dcterms:created>
  <dcterms:modified xsi:type="dcterms:W3CDTF">2015-01-16T10:11:00Z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0x010100F075C04BA242A84ABD3293E3AD35CDA400AB50428DC784B44FAACCAA5FAE40C0590045B5E632B552204ABF0E616DD66BDA0F</vt:lpwstr>
  </property>
  <property fmtid="{D5CDD505-2E9C-101B-9397-08002B2CF9AE}" pid="3" name="UNDPCountry">
    <vt:lpwstr/>
  </property>
  <property fmtid="{D5CDD505-2E9C-101B-9397-08002B2CF9AE}" pid="4" name="Atlas_x0020_Document_x0020_Type">
    <vt:lpwstr>236;#Progress Report|cafb2bdd-31de-4683-a84c-29af809cca57</vt:lpwstr>
  </property>
  <property fmtid="{D5CDD505-2E9C-101B-9397-08002B2CF9AE}" pid="5" name="UndpDocTypeMM">
    <vt:lpwstr/>
  </property>
  <property fmtid="{D5CDD505-2E9C-101B-9397-08002B2CF9AE}" pid="6" name="UNDPDocumentCategory">
    <vt:lpwstr/>
  </property>
  <property fmtid="{D5CDD505-2E9C-101B-9397-08002B2CF9AE}" pid="7" name="UnitTaxHTField0">
    <vt:lpwstr/>
  </property>
  <property fmtid="{D5CDD505-2E9C-101B-9397-08002B2CF9AE}" pid="8" name="UN Languages">
    <vt:lpwstr>233;#French|946783f8-cd0b-41e2-848e-7777f631248e</vt:lpwstr>
  </property>
  <property fmtid="{D5CDD505-2E9C-101B-9397-08002B2CF9AE}" pid="9" name="Operating Unit0">
    <vt:lpwstr>1240;#H01|29e3582e-d6e8-4cc4-955d-c403f99df31e</vt:lpwstr>
  </property>
  <property fmtid="{D5CDD505-2E9C-101B-9397-08002B2CF9AE}" pid="10" name="Atlas Document Status">
    <vt:lpwstr>763;#Draft|121d40a5-e62e-4d42-82e4-d6d12003de0a</vt:lpwstr>
  </property>
  <property fmtid="{D5CDD505-2E9C-101B-9397-08002B2CF9AE}" pid="12" name="UndpUnitMM">
    <vt:lpwstr/>
  </property>
  <property fmtid="{D5CDD505-2E9C-101B-9397-08002B2CF9AE}" pid="13" name="eRegFilingCodeMM">
    <vt:lpwstr/>
  </property>
  <property fmtid="{D5CDD505-2E9C-101B-9397-08002B2CF9AE}" pid="14" name="Unit">
    <vt:lpwstr/>
  </property>
  <property fmtid="{D5CDD505-2E9C-101B-9397-08002B2CF9AE}" pid="15" name="UNDPFocusAreas">
    <vt:lpwstr>296;#Environment and Energy|507850c5-118d-4c78-99b1-c760df552b10</vt:lpwstr>
  </property>
  <property fmtid="{D5CDD505-2E9C-101B-9397-08002B2CF9AE}" pid="16" name="Atlas Document Type">
    <vt:lpwstr>1112;#Progress Report|03c70d0e-c75e-4cfb-8288-e692640ede14</vt:lpwstr>
  </property>
  <property fmtid="{D5CDD505-2E9C-101B-9397-08002B2CF9AE}" pid="17" name="_dlc_DocIdItemGuid">
    <vt:lpwstr>00fa8f92-230c-42a6-8f27-8c1d3659defb</vt:lpwstr>
  </property>
  <property fmtid="{D5CDD505-2E9C-101B-9397-08002B2CF9AE}" pid="18" name="URL">
    <vt:lpwstr/>
  </property>
  <property fmtid="{D5CDD505-2E9C-101B-9397-08002B2CF9AE}" pid="19" name="DocumentSetDescription">
    <vt:lpwstr/>
  </property>
</Properties>
</file>